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STATUTS D'UNE SOCIÉTÉ À RESPONSABILITÉ LIMITÉE</w:t>
      </w:r>
    </w:p>
    <w:p>
      <w:pPr>
        <w:jc w:val="center"/>
        <w:spacing w:before="0" w:after="240"/>
      </w:pPr>
      <w:r>
        <w:rPr>
          <w:i/>
          <w:sz w:val="22"/>
          <w:szCs w:val="22"/>
          <w:color w:val="44607A"/>
        </w:rPr>
        <w:t xml:space="preserve">Modèle de travail, droit algérien, à faire établir par acte notarié</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AVERTISSEMENT. L'article 545 du code de commerce dispose que la société est, à peine de nullité, constatée par acte authentique. L'article 418 du code civil ajoute que toute modification ultérieure des statuts doit revêtir la même forme, également à peine de nullité. Ce document est un support de préparation. Il ne constitue pas les statuts de votre société et ne vaut pas consultation juridique.</w:t>
      </w:r>
    </w:p>
    <w:p>
      <w:pPr>
        <w:spacing w:before="260" w:after="120"/>
      </w:pPr>
      <w:r>
        <w:rPr>
          <w:b/>
          <w:sz w:val="26"/>
          <w:szCs w:val="26"/>
          <w:color w:val="1E4E79"/>
        </w:rPr>
        <w:t xml:space="preserve">Comment lire ce modèle</w:t>
      </w:r>
    </w:p>
    <w:p>
      <w:pPr>
        <w:numPr>
          <w:ilvl w:val="0"/>
          <w:numId w:val="1"/>
        </w:numPr>
        <w:spacing w:before="0" w:after="60"/>
      </w:pPr>
      <w:r>
        <w:t xml:space="preserve">Les champs à compléter sont entre crochets et surlignés, par exemple </w:t>
      </w:r>
      <w:r>
        <w:rPr>
          <w:b/>
          <w:highlight w:val="yellow"/>
        </w:rPr>
        <w:t xml:space="preserve">[DENOMINATION]</w:t>
      </w:r>
      <w:r>
        <w:t xml:space="preserve"> ou </w:t>
      </w:r>
      <w:r>
        <w:rPr>
          <w:b/>
          <w:highlight w:val="yellow"/>
        </w:rPr>
        <w:t xml:space="preserve">[CAPITAL]</w:t>
      </w:r>
      <w:r>
        <w:t xml:space="preserve">.</w:t>
      </w:r>
    </w:p>
    <w:p>
      <w:pPr>
        <w:numPr>
          <w:ilvl w:val="0"/>
          <w:numId w:val="1"/>
        </w:numPr>
        <w:spacing w:before="0" w:after="60"/>
      </w:pPr>
      <w:r>
        <w:t xml:space="preserve">Chaque article indique sa base légale. Quand la loi n'impose rien, l'article porte la mention clause d'usage : vous pouvez le supprimer ou le réécrire librement avec votre notaire.</w:t>
      </w:r>
    </w:p>
    <w:p>
      <w:pPr>
        <w:numPr>
          <w:ilvl w:val="0"/>
          <w:numId w:val="1"/>
        </w:numPr>
        <w:spacing w:before="0" w:after="60"/>
      </w:pPr>
      <w:r>
        <w:t xml:space="preserve">Les articles marqués disposition impérative reprennent une règle que les statuts ne peuvent pas écarter. Une clause contraire serait réputée non écrite.</w:t>
      </w:r>
    </w:p>
    <w:p>
      <w:pPr>
        <w:numPr>
          <w:ilvl w:val="0"/>
          <w:numId w:val="1"/>
        </w:numPr>
        <w:spacing w:before="0" w:after="60"/>
      </w:pPr>
      <w:r>
        <w:t xml:space="preserve">Supprimez les variantes qui ne correspondent pas à votre situation, puis renumérotez les articles restants.</w:t>
      </w:r>
    </w:p>
    <w:p>
      <w:pPr>
        <w:numPr>
          <w:ilvl w:val="0"/>
          <w:numId w:val="1"/>
        </w:numPr>
        <w:spacing w:before="0" w:after="60"/>
      </w:pPr>
      <w:r>
        <w:t xml:space="preserve">Vérifiez que les chiffres se recoupent : capital, nombre de parts multiplié par la valeur nominale, et somme des apports doivent donner le même montant.</w:t>
      </w:r>
    </w:p>
    <w:p>
      <w:pPr>
        <w:spacing w:before="260" w:after="120"/>
      </w:pPr>
      <w:r>
        <w:rPr>
          <w:b/>
          <w:sz w:val="26"/>
          <w:szCs w:val="26"/>
          <w:color w:val="1E4E79"/>
        </w:rPr>
        <w:t xml:space="preserve">Les six mentions obligatoires de l'article 546</w:t>
      </w:r>
    </w:p>
    <w:p>
      <w:pPr>
        <w:spacing w:before="0" w:after="120"/>
      </w:pPr>
      <w:r>
        <w:t xml:space="preserve">L'article 546 du code de commerce fixe six mentions que les statuts de toute société commerciale doivent déterminer : la forme, la durée qui ne peut excéder 99 ans, la raison ou la dénomination sociale, le siège social, l'objet social et le montant du capital social. Les articles 1 à 7 ci-dessous couvrent ces six mentions.</w:t>
      </w:r>
    </w:p>
    <w:p>
      <w:r>
        <w:br w:type="page"/>
      </w:r>
    </w:p>
    <w:p>
      <w:pPr>
        <w:jc w:val="center"/>
        <w:spacing w:before="0" w:after="120"/>
      </w:pPr>
      <w:r>
        <w:rPr>
          <w:b/>
        </w:rPr>
        <w:t xml:space="preserve">[DENOMINATION]</w:t>
      </w:r>
    </w:p>
    <w:p>
      <w:pPr>
        <w:jc w:val="center"/>
        <w:spacing w:before="0" w:after="120"/>
      </w:pPr>
      <w:r>
        <w:t xml:space="preserve">Société à responsabilité limitée</w:t>
      </w:r>
    </w:p>
    <w:p>
      <w:pPr>
        <w:jc w:val="center"/>
        <w:spacing w:before="0" w:after="120"/>
      </w:pPr>
      <w:r>
        <w:t xml:space="preserve">Capital social : </w:t>
      </w:r>
      <w:r>
        <w:rPr>
          <w:b/>
          <w:highlight w:val="yellow"/>
        </w:rPr>
        <w:t xml:space="preserve">[CAPITAL]</w:t>
      </w:r>
      <w:r>
        <w:t xml:space="preserve"> dinars algériens</w:t>
      </w:r>
    </w:p>
    <w:p>
      <w:pPr>
        <w:jc w:val="center"/>
        <w:spacing w:before="0" w:after="120"/>
      </w:pPr>
      <w:r>
        <w:t xml:space="preserve">Siège social : </w:t>
      </w:r>
      <w:r>
        <w:rPr>
          <w:b/>
          <w:highlight w:val="yellow"/>
        </w:rPr>
        <w:t xml:space="preserve">[ADRESSE DU SIEGE SOCIAL]</w:t>
      </w:r>
    </w:p>
    <w:p>
      <w:pPr>
        <w:spacing w:before="0" w:after="60"/>
      </w:pPr>
    </w:p>
    <w:p>
      <w:pPr>
        <w:jc w:val="center"/>
        <w:spacing w:before="0" w:after="120"/>
      </w:pPr>
      <w:r>
        <w:rPr>
          <w:b/>
        </w:rPr>
        <w:t xml:space="preserve">STATUTS</w:t>
      </w:r>
    </w:p>
    <w:p>
      <w:pPr>
        <w:spacing w:before="0" w:after="60"/>
      </w:pPr>
    </w:p>
    <w:p>
      <w:pPr>
        <w:spacing w:before="260" w:after="120"/>
      </w:pPr>
      <w:r>
        <w:rPr>
          <w:b/>
          <w:sz w:val="26"/>
          <w:szCs w:val="26"/>
          <w:color w:val="1E4E79"/>
        </w:rPr>
        <w:t xml:space="preserve">Les soussignés</w:t>
      </w:r>
    </w:p>
    <w:p>
      <w:pPr>
        <w:spacing w:before="0" w:after="120"/>
      </w:pPr>
      <w:r>
        <w:t xml:space="preserve">Monsieur ou Madame </w:t>
      </w:r>
      <w:r>
        <w:rPr>
          <w:b/>
          <w:highlight w:val="yellow"/>
        </w:rPr>
        <w:t xml:space="preserve">[NOM ET PRENOM DU PREMIER ASSOCIE]</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[NATIONALITE]</w:t>
      </w:r>
      <w:r>
        <w:t xml:space="preserve">, demeurant à </w:t>
      </w:r>
      <w:r>
        <w:rPr>
          <w:b/>
          <w:highlight w:val="yellow"/>
        </w:rPr>
        <w:t xml:space="preserve">[ADRESSE]</w:t>
      </w:r>
      <w:r>
        <w:t xml:space="preserve">, titulaire de la pièce d'identité n° </w:t>
      </w:r>
      <w:r>
        <w:rPr>
          <w:b/>
          <w:highlight w:val="yellow"/>
        </w:rPr>
        <w:t xml:space="preserve">[NUMERO DE PIECE D IDENTITE]</w:t>
      </w:r>
      <w:r>
        <w:t xml:space="preserve"> délivrée le </w:t>
      </w:r>
      <w:r>
        <w:rPr>
          <w:b/>
          <w:highlight w:val="yellow"/>
        </w:rPr>
        <w:t xml:space="preserve">[DATE DE DELIVRANCE]</w:t>
      </w:r>
      <w:r>
        <w:t xml:space="preserve">.</w:t>
      </w:r>
    </w:p>
    <w:p>
      <w:pPr>
        <w:spacing w:before="0" w:after="120"/>
      </w:pPr>
      <w:r>
        <w:t xml:space="preserve">Monsieur ou Madame </w:t>
      </w:r>
      <w:r>
        <w:rPr>
          <w:b/>
          <w:highlight w:val="yellow"/>
        </w:rPr>
        <w:t xml:space="preserve">[NOM ET PRENOM DU DEUXIEME ASSOCIE]</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[NATIONALITE]</w:t>
      </w:r>
      <w:r>
        <w:t xml:space="preserve">, demeurant à </w:t>
      </w:r>
      <w:r>
        <w:rPr>
          <w:b/>
          <w:highlight w:val="yellow"/>
        </w:rPr>
        <w:t xml:space="preserve">[ADRESSE]</w:t>
      </w:r>
      <w:r>
        <w:t xml:space="preserve">, titulaire de la pièce d'identité n° </w:t>
      </w:r>
      <w:r>
        <w:rPr>
          <w:b/>
          <w:highlight w:val="yellow"/>
        </w:rPr>
        <w:t xml:space="preserve">[NUMERO DE PIECE D IDENTITE]</w:t>
      </w:r>
      <w:r>
        <w:t xml:space="preserve"> délivrée le </w:t>
      </w:r>
      <w:r>
        <w:rPr>
          <w:b/>
          <w:highlight w:val="yellow"/>
        </w:rPr>
        <w:t xml:space="preserve">[DATE DE DELIVRANCE]</w:t>
      </w:r>
      <w:r>
        <w:t xml:space="preserve">.</w:t>
      </w:r>
    </w:p>
    <w:p>
      <w:pPr>
        <w:spacing w:before="0" w:after="120"/>
      </w:pPr>
      <w:r>
        <w:t xml:space="preserve">ont établi ainsi qu'il suit les statuts de la société à responsabilité limitée qu'ils constituent entre eux.</w:t>
      </w:r>
    </w:p>
    <w:p>
      <w:pPr>
        <w:spacing w:before="0" w:after="100"/>
      </w:pPr>
      <w:r>
        <w:rPr>
          <w:i/>
          <w:sz w:val="16"/>
          <w:szCs w:val="16"/>
          <w:color w:val="5A6B7C"/>
        </w:rPr>
        <w:t xml:space="preserve">Article 565 du code de commerce : tous les associés doivent intervenir à l'acte constitutif, en personne ou par mandataire justifiant d'un pouvoir spécial.</w:t>
      </w:r>
    </w:p>
    <w:p>
      <w:pPr>
        <w:spacing w:before="260" w:after="120"/>
      </w:pPr>
      <w:r>
        <w:rPr>
          <w:b/>
          <w:sz w:val="26"/>
          <w:szCs w:val="26"/>
          <w:color w:val="1E4E79"/>
        </w:rPr>
        <w:t xml:space="preserve">TITRE PREMIER. FORME, OBJET, DÉNOMINATION, SIÈGE, DURÉE</w:t>
      </w:r>
    </w:p>
    <w:p>
      <w:pPr>
        <w:spacing w:before="180" w:after="100"/>
      </w:pPr>
      <w:r>
        <w:rPr>
          <w:b/>
          <w:sz w:val="22"/>
          <w:szCs w:val="22"/>
          <w:color w:val="1E4E79"/>
        </w:rPr>
        <w:t xml:space="preserve">Article 1. Forme (art. 546 et 564 du code de commerce)</w:t>
      </w:r>
    </w:p>
    <w:p>
      <w:pPr>
        <w:spacing w:before="0" w:after="120"/>
      </w:pPr>
      <w:r>
        <w:t xml:space="preserve">Il est formé entre les propriétaires des parts sociales ci-après créées et de celles qui pourraient l'être ultérieurement une société à responsabilité limitée régie par les dispositions du code de commerce algérien, par les textes pris pour son application et par les présents statuts.</w:t>
      </w:r>
    </w:p>
    <w:p>
      <w:pPr>
        <w:spacing w:before="0" w:after="120"/>
      </w:pPr>
      <w:r>
        <w:t xml:space="preserve">Conformément à l'article 564 du code de commerce, les associés ne supportent les pertes qu'à concurrence de leurs apports.</w:t>
      </w:r>
    </w:p>
    <w:p>
      <w:pPr>
        <w:spacing w:before="180" w:after="100"/>
      </w:pPr>
      <w:r>
        <w:rPr>
          <w:b/>
          <w:sz w:val="22"/>
          <w:szCs w:val="22"/>
          <w:color w:val="1E4E79"/>
        </w:rPr>
        <w:t xml:space="preserve">Article 2. Objet social (art. 546, mention obligatoire)</w:t>
      </w:r>
    </w:p>
    <w:p>
      <w:pPr>
        <w:spacing w:before="0" w:after="120"/>
      </w:pPr>
      <w:r>
        <w:t xml:space="preserve">La société a pour objet, en Algérie et à l'étranger :</w:t>
      </w:r>
    </w:p>
    <w:p>
      <w:pPr>
        <w:numPr>
          <w:ilvl w:val="0"/>
          <w:numId w:val="1"/>
        </w:numPr>
        <w:spacing w:before="0" w:after="60"/>
      </w:pPr>
      <w:r>
        <w:rPr>
          <w:b/>
          <w:highlight w:val="yellow"/>
        </w:rPr>
        <w:t xml:space="preserve">[ACTIVITE PRINCIPALE]</w:t>
      </w:r>
      <w:r>
        <w:t xml:space="preserve">, correspondant au code d'activité </w:t>
      </w:r>
      <w:r>
        <w:rPr>
          <w:b/>
          <w:highlight w:val="yellow"/>
        </w:rPr>
        <w:t xml:space="preserve">[CODE ACTIVITE PRINCIPALE]</w:t>
      </w:r>
      <w:r>
        <w:t xml:space="preserve">.</w:t>
      </w:r>
    </w:p>
    <w:p>
      <w:pPr>
        <w:numPr>
          <w:ilvl w:val="0"/>
          <w:numId w:val="1"/>
        </w:numPr>
        <w:spacing w:before="0" w:after="60"/>
      </w:pPr>
      <w:r>
        <w:rPr>
          <w:b/>
          <w:highlight w:val="yellow"/>
        </w:rPr>
        <w:t xml:space="preserve">[ACTIVITE SECONDAIRE]</w:t>
      </w:r>
      <w:r>
        <w:t xml:space="preserve">, correspondant au code d'activité </w:t>
      </w:r>
      <w:r>
        <w:rPr>
          <w:b/>
          <w:highlight w:val="yellow"/>
        </w:rPr>
        <w:t xml:space="preserve">[CODE ACTIVITE SECONDAIRE]</w:t>
      </w:r>
      <w:r>
        <w:t xml:space="preserve">.</w:t>
      </w:r>
    </w:p>
    <w:p>
      <w:pPr>
        <w:spacing w:before="0" w:after="120"/>
      </w:pPr>
      <w:r>
        <w:t xml:space="preserve">et, plus généralement, toutes opérations commerciales, industrielles, financières, mobilières ou immobilières se rattachant directement ou indirectement à l'objet ci-dessus ou susceptibles d'en favoriser la réalisation.</w:t>
      </w:r>
    </w:p>
    <w:p>
      <w:pPr>
        <w:spacing w:before="0" w:after="100"/>
      </w:pPr>
      <w:r>
        <w:rPr>
          <w:i/>
          <w:sz w:val="16"/>
          <w:szCs w:val="16"/>
          <w:color w:val="5A6B7C"/>
        </w:rPr>
        <w:t xml:space="preserve">Point de vigilance : l'objet social déclaré ici doit correspondre aux codes de la nomenclature des activités demandés au registre du commerce. Cette correspondance est une exigence de pratique des guichets, contrôlée au dépôt du dossier.</w:t>
      </w:r>
    </w:p>
    <w:p>
      <w:pPr>
        <w:spacing w:before="180" w:after="100"/>
      </w:pPr>
      <w:r>
        <w:rPr>
          <w:b/>
          <w:sz w:val="22"/>
          <w:szCs w:val="22"/>
          <w:color w:val="1E4E79"/>
        </w:rPr>
        <w:t xml:space="preserve">Article 3. Dénomination sociale (art. 546 et 564)</w:t>
      </w:r>
    </w:p>
    <w:p>
      <w:pPr>
        <w:spacing w:before="0" w:after="120"/>
      </w:pPr>
      <w:r>
        <w:t xml:space="preserve">La dénomination sociale est : </w:t>
      </w:r>
      <w:r>
        <w:rPr>
          <w:b/>
          <w:highlight w:val="yellow"/>
        </w:rPr>
        <w:t xml:space="preserve">[DENOMINATION]</w:t>
      </w:r>
      <w:r>
        <w:t xml:space="preserve">.</w:t>
      </w:r>
    </w:p>
    <w:p>
      <w:pPr>
        <w:spacing w:before="0" w:after="120"/>
      </w:pPr>
      <w:r>
        <w:t xml:space="preserve">Dans tous les actes, factures, annonces, publications et autres documents émanant de la société, la dénomination sociale doit être immédiatement précédée ou suivie des mots société à responsabilité limitée ou des initiales S.A.R.L, ainsi que de l'énonciation du capital social.</w:t>
      </w:r>
    </w:p>
    <w:p>
      <w:pPr>
        <w:spacing w:before="0" w:after="100"/>
      </w:pPr>
      <w:r>
        <w:rPr>
          <w:i/>
          <w:sz w:val="16"/>
          <w:szCs w:val="16"/>
          <w:color w:val="5A6B7C"/>
        </w:rPr>
        <w:t xml:space="preserve">Article 564 al. 1 pour la mention S.A.R.L et l'énonciation du capital. Article 566, dans sa rédaction issue de la loi 15-20, ajoute que le capital social doit être mentionné dans tous les documents de la société.</w:t>
      </w:r>
    </w:p>
    <w:p>
      <w:pPr>
        <w:spacing w:before="180" w:after="100"/>
      </w:pPr>
      <w:r>
        <w:rPr>
          <w:b/>
          <w:sz w:val="22"/>
          <w:szCs w:val="22"/>
          <w:color w:val="1E4E79"/>
        </w:rPr>
        <w:t xml:space="preserve">Article 4. Siège social (art. 546, mention obligatoire)</w:t>
      </w:r>
    </w:p>
    <w:p>
      <w:pPr>
        <w:spacing w:before="0" w:after="120"/>
      </w:pPr>
      <w:r>
        <w:t xml:space="preserve">Le siège social est fixé à : </w:t>
      </w:r>
      <w:r>
        <w:rPr>
          <w:b/>
          <w:highlight w:val="yellow"/>
        </w:rPr>
        <w:t xml:space="preserve">[ADRESSE DU SIEGE SOCIAL]</w:t>
      </w:r>
      <w:r>
        <w:t xml:space="preserve">, commune de </w:t>
      </w:r>
      <w:r>
        <w:rPr>
          <w:b/>
          <w:highlight w:val="yellow"/>
        </w:rPr>
        <w:t xml:space="preserve">[COMMUNE]</w:t>
      </w:r>
      <w:r>
        <w:t xml:space="preserve">, wilaya de </w:t>
      </w:r>
      <w:r>
        <w:rPr>
          <w:b/>
          <w:highlight w:val="yellow"/>
        </w:rPr>
        <w:t xml:space="preserve">[WILAYA]</w:t>
      </w:r>
      <w:r>
        <w:t xml:space="preserve">.</w:t>
      </w:r>
    </w:p>
    <w:p>
      <w:pPr>
        <w:spacing w:before="0" w:after="120"/>
      </w:pPr>
      <w:r>
        <w:t xml:space="preserve">Le transfert du siège social est décidé dans les conditions prévues pour la modification des statuts. Il donne lieu à un acte authentique et aux formalités de publicité correspondantes.</w:t>
      </w:r>
    </w:p>
    <w:p>
      <w:pPr>
        <w:spacing w:before="0" w:after="100"/>
      </w:pPr>
      <w:r>
        <w:rPr>
          <w:i/>
          <w:sz w:val="16"/>
          <w:szCs w:val="16"/>
          <w:color w:val="5A6B7C"/>
        </w:rPr>
        <w:t xml:space="preserve">Le siège figure parmi les mentions de l'article 546. Le déplacer modifie donc les statuts, ce qui impose l'acte authentique de l'article 418 du code civil et la publicité de l'article 548 du code de commerce. Une clause qui autoriserait le gérant à transférer le siège par simple décision ne dispenserait ni du notaire ni de la publication.</w:t>
      </w:r>
    </w:p>
    <w:p>
      <w:pPr>
        <w:spacing w:before="180" w:after="100"/>
      </w:pPr>
      <w:r>
        <w:rPr>
          <w:b/>
          <w:sz w:val="22"/>
          <w:szCs w:val="22"/>
          <w:color w:val="1E4E79"/>
        </w:rPr>
        <w:t xml:space="preserve">Article 5. Durée (art. 546, plafond légal de 99 ans)</w:t>
      </w:r>
    </w:p>
    <w:p>
      <w:pPr>
        <w:spacing w:before="0" w:after="120"/>
      </w:pPr>
      <w:r>
        <w:t xml:space="preserve">La durée de la société est fixée à </w:t>
      </w:r>
      <w:r>
        <w:rPr>
          <w:b/>
          <w:highlight w:val="yellow"/>
        </w:rPr>
        <w:t xml:space="preserve">[DUREE EN ANNEES]</w:t>
      </w:r>
      <w:r>
        <w:t xml:space="preserve"> années à compter de son immatriculation au registre du commerce, sauf dissolution anticipée ou prorogation décidée dans les conditions prévues pour la modification des statuts.</w:t>
      </w:r>
    </w:p>
    <w:p>
      <w:pPr>
        <w:spacing w:before="0" w:after="100"/>
      </w:pPr>
      <w:r>
        <w:rPr>
          <w:i/>
          <w:sz w:val="16"/>
          <w:szCs w:val="16"/>
          <w:color w:val="5A6B7C"/>
        </w:rPr>
        <w:t xml:space="preserve">L'article 546 interdit une durée supérieure à 99 ans.</w:t>
      </w:r>
    </w:p>
    <w:p>
      <w:pPr>
        <w:spacing w:before="260" w:after="120"/>
      </w:pPr>
      <w:r>
        <w:rPr>
          <w:b/>
          <w:sz w:val="26"/>
          <w:szCs w:val="26"/>
          <w:color w:val="1E4E79"/>
        </w:rPr>
        <w:t xml:space="preserve">TITRE II. APPORTS, CAPITAL SOCIAL, PARTS SOCIALES</w:t>
      </w:r>
    </w:p>
    <w:p>
      <w:pPr>
        <w:spacing w:before="180" w:after="100"/>
      </w:pPr>
      <w:r>
        <w:rPr>
          <w:b/>
          <w:sz w:val="22"/>
          <w:szCs w:val="22"/>
          <w:color w:val="1E4E79"/>
        </w:rPr>
        <w:t xml:space="preserve">Article 6. Apports (art. 567, 567 bis et 568)</w:t>
      </w:r>
    </w:p>
    <w:p>
      <w:pPr>
        <w:spacing w:before="0" w:after="120"/>
      </w:pPr>
      <w:r>
        <w:t xml:space="preserve">Les associés apportent à la société les sommes et biens suivants.</w:t>
      </w:r>
    </w:p>
    <w:p>
      <w:pPr>
        <w:spacing w:before="0" w:after="120"/>
      </w:pPr>
      <w:r>
        <w:t xml:space="preserve">Apports en numéraire :</w:t>
      </w:r>
    </w:p>
    <w:p>
      <w:pPr>
        <w:numPr>
          <w:ilvl w:val="0"/>
          <w:numId w:val="1"/>
        </w:numPr>
        <w:spacing w:before="0" w:after="60"/>
      </w:pPr>
      <w:r>
        <w:rPr>
          <w:b/>
          <w:highlight w:val="yellow"/>
        </w:rPr>
        <w:t xml:space="preserve">[NOM DU PREMIER ASSOCIE]</w:t>
      </w:r>
      <w:r>
        <w:t xml:space="preserve">, la somme de </w:t>
      </w:r>
      <w:r>
        <w:rPr>
          <w:b/>
          <w:highlight w:val="yellow"/>
        </w:rPr>
        <w:t xml:space="preserve">[MONTANT]</w:t>
      </w:r>
      <w:r>
        <w:t xml:space="preserve"> dinars algériens.</w:t>
      </w:r>
    </w:p>
    <w:p>
      <w:pPr>
        <w:numPr>
          <w:ilvl w:val="0"/>
          <w:numId w:val="1"/>
        </w:numPr>
        <w:spacing w:before="0" w:after="60"/>
      </w:pPr>
      <w:r>
        <w:rPr>
          <w:b/>
          <w:highlight w:val="yellow"/>
        </w:rPr>
        <w:t xml:space="preserve">[NOM DU DEUXIEME ASSOCIE]</w:t>
      </w:r>
      <w:r>
        <w:t xml:space="preserve">, la somme de </w:t>
      </w:r>
      <w:r>
        <w:rPr>
          <w:b/>
          <w:highlight w:val="yellow"/>
        </w:rPr>
        <w:t xml:space="preserve">[MONTANT]</w:t>
      </w:r>
      <w:r>
        <w:t xml:space="preserve"> dinars algériens.</w:t>
      </w:r>
    </w:p>
    <w:p>
      <w:pPr>
        <w:spacing w:before="0" w:after="120"/>
      </w:pPr>
      <w:r>
        <w:t xml:space="preserve">Apports en nature, le cas échéant :</w:t>
      </w:r>
    </w:p>
    <w:p>
      <w:pPr>
        <w:numPr>
          <w:ilvl w:val="0"/>
          <w:numId w:val="1"/>
        </w:numPr>
        <w:spacing w:before="0" w:after="60"/>
      </w:pPr>
      <w:r>
        <w:rPr>
          <w:b/>
          <w:highlight w:val="yellow"/>
        </w:rPr>
        <w:t xml:space="preserve">[NOM DE L ASSOCIE APPORTEUR]</w:t>
      </w:r>
      <w:r>
        <w:t xml:space="preserve"> apporte </w:t>
      </w:r>
      <w:r>
        <w:rPr>
          <w:b/>
          <w:highlight w:val="yellow"/>
        </w:rPr>
        <w:t xml:space="preserve">[DESIGNATION DU BIEN APPORTE]</w:t>
      </w:r>
      <w:r>
        <w:t xml:space="preserve">, évalué à </w:t>
      </w:r>
      <w:r>
        <w:rPr>
          <w:b/>
          <w:highlight w:val="yellow"/>
        </w:rPr>
        <w:t xml:space="preserve">[MONTANT]</w:t>
      </w:r>
      <w:r>
        <w:t xml:space="preserve"> dinars algériens.</w:t>
      </w:r>
    </w:p>
    <w:p>
      <w:pPr>
        <w:spacing w:before="0" w:after="120"/>
      </w:pPr>
      <w:r>
        <w:t xml:space="preserve">L'évaluation de chaque apport en nature figure aux présents statuts sur la base du rapport annexé, établi sous sa responsabilité par le commissaire aux apports désigné par ordonnance du tribunal parmi les experts agréés. Les associés sont solidairement responsables pendant cinq ans, à l'égard des tiers, de la valeur attribuée aux apports en nature.</w:t>
      </w:r>
    </w:p>
    <w:p>
      <w:pPr>
        <w:spacing w:before="0" w:after="100"/>
      </w:pPr>
      <w:r>
        <w:rPr>
          <w:i/>
          <w:sz w:val="16"/>
          <w:szCs w:val="16"/>
          <w:color w:val="5A6B7C"/>
        </w:rPr>
        <w:t xml:space="preserve">Article 568 du code de commerce. Attention, contrairement au droit français, le droit algérien ne prévoit AUCUN seuil dispensant de la désignation d'un commissaire aux apports dans une SARL. Le commissaire est requis quel que soit le montant.</w:t>
      </w:r>
    </w:p>
    <w:p>
      <w:pPr>
        <w:spacing w:before="0" w:after="120"/>
      </w:pPr>
      <w:r>
        <w:t xml:space="preserve">Apports en industrie, le cas échéant :</w:t>
      </w:r>
    </w:p>
    <w:p>
      <w:pPr>
        <w:numPr>
          <w:ilvl w:val="0"/>
          <w:numId w:val="1"/>
        </w:numPr>
        <w:spacing w:before="0" w:after="60"/>
      </w:pPr>
      <w:r>
        <w:rPr>
          <w:b/>
          <w:highlight w:val="yellow"/>
        </w:rPr>
        <w:t xml:space="preserve">[NOM DE L ASSOCIE APPORTEUR]</w:t>
      </w:r>
      <w:r>
        <w:t xml:space="preserve"> apporte son industrie consistant en </w:t>
      </w:r>
      <w:r>
        <w:rPr>
          <w:b/>
          <w:highlight w:val="yellow"/>
        </w:rPr>
        <w:t xml:space="preserve">[DESCRIPTION DE L APPORT EN INDUSTRIE]</w:t>
      </w:r>
      <w:r>
        <w:t xml:space="preserve">, évalué à </w:t>
      </w:r>
      <w:r>
        <w:rPr>
          <w:b/>
          <w:highlight w:val="yellow"/>
        </w:rPr>
        <w:t xml:space="preserve">[MONTANT]</w:t>
      </w:r>
      <w:r>
        <w:t xml:space="preserve"> dinars algériens et donnant droit à </w:t>
      </w:r>
      <w:r>
        <w:rPr>
          <w:b/>
          <w:highlight w:val="yellow"/>
        </w:rPr>
        <w:t xml:space="preserve">[PART DANS LES BENEFICES]</w:t>
      </w:r>
      <w:r>
        <w:t xml:space="preserve"> des bénéfices.</w:t>
      </w:r>
    </w:p>
    <w:p>
      <w:pPr>
        <w:spacing w:before="0" w:after="100"/>
      </w:pPr>
      <w:r>
        <w:rPr>
          <w:i/>
          <w:sz w:val="16"/>
          <w:szCs w:val="16"/>
          <w:color w:val="5A6B7C"/>
        </w:rPr>
        <w:t xml:space="preserve">Article 567 bis, créé par la loi 15-20 : l'apport en industrie est admis dans la SARL, il est évalué dans les statuts et ne concourt pas à la formation du capital social.</w:t>
      </w:r>
    </w:p>
    <w:p>
      <w:pPr>
        <w:spacing w:before="180" w:after="100"/>
      </w:pPr>
      <w:r>
        <w:rPr>
          <w:b/>
          <w:sz w:val="22"/>
          <w:szCs w:val="22"/>
          <w:color w:val="1E4E79"/>
        </w:rPr>
        <w:t xml:space="preserve">Article 7. Capital social (art. 546 et 566 modifié par la loi 15-20)</w:t>
      </w:r>
    </w:p>
    <w:p>
      <w:pPr>
        <w:spacing w:before="0" w:after="120"/>
      </w:pPr>
      <w:r>
        <w:t xml:space="preserve">Le capital social est fixé à la somme de </w:t>
      </w:r>
      <w:r>
        <w:rPr>
          <w:b/>
          <w:highlight w:val="yellow"/>
        </w:rPr>
        <w:t xml:space="preserve">[CAPITAL]</w:t>
      </w:r>
      <w:r>
        <w:t xml:space="preserve"> dinars algériens. Il est divisé en </w:t>
      </w:r>
      <w:r>
        <w:rPr>
          <w:b/>
          <w:highlight w:val="yellow"/>
        </w:rPr>
        <w:t xml:space="preserve">[NOMBRE DE PARTS]</w:t>
      </w:r>
      <w:r>
        <w:t xml:space="preserve"> parts sociales égales de </w:t>
      </w:r>
      <w:r>
        <w:rPr>
          <w:b/>
          <w:highlight w:val="yellow"/>
        </w:rPr>
        <w:t xml:space="preserve">[VALEUR NOMINALE]</w:t>
      </w:r>
      <w:r>
        <w:t xml:space="preserve"> dinars algériens chacune, intégralement souscrites et attribuées aux associés comme suit :</w:t>
      </w:r>
    </w:p>
    <w:p>
      <w:pPr>
        <w:numPr>
          <w:ilvl w:val="0"/>
          <w:numId w:val="1"/>
        </w:numPr>
        <w:spacing w:before="0" w:after="60"/>
      </w:pPr>
      <w:r>
        <w:rPr>
          <w:b/>
          <w:highlight w:val="yellow"/>
        </w:rPr>
        <w:t xml:space="preserve">[NOM DU PREMIER ASSOCIE]</w:t>
      </w:r>
      <w:r>
        <w:t xml:space="preserve"> : </w:t>
      </w:r>
      <w:r>
        <w:rPr>
          <w:b/>
          <w:highlight w:val="yellow"/>
        </w:rPr>
        <w:t xml:space="preserve">[NOMBRE]</w:t>
      </w:r>
      <w:r>
        <w:t xml:space="preserve"> parts, numérotées de </w:t>
      </w:r>
      <w:r>
        <w:rPr>
          <w:b/>
          <w:highlight w:val="yellow"/>
        </w:rPr>
        <w:t xml:space="preserve">[NUMERO]</w:t>
      </w:r>
      <w:r>
        <w:t xml:space="preserve"> à </w:t>
      </w:r>
      <w:r>
        <w:rPr>
          <w:b/>
          <w:highlight w:val="yellow"/>
        </w:rPr>
        <w:t xml:space="preserve">[NUMERO]</w:t>
      </w:r>
      <w:r>
        <w:t xml:space="preserve">.</w:t>
      </w:r>
    </w:p>
    <w:p>
      <w:pPr>
        <w:numPr>
          <w:ilvl w:val="0"/>
          <w:numId w:val="1"/>
        </w:numPr>
        <w:spacing w:before="0" w:after="60"/>
      </w:pPr>
      <w:r>
        <w:rPr>
          <w:b/>
          <w:highlight w:val="yellow"/>
        </w:rPr>
        <w:t xml:space="preserve">[NOM DU DEUXIEME ASSOCIE]</w:t>
      </w:r>
      <w:r>
        <w:t xml:space="preserve"> : </w:t>
      </w:r>
      <w:r>
        <w:rPr>
          <w:b/>
          <w:highlight w:val="yellow"/>
        </w:rPr>
        <w:t xml:space="preserve">[NOMBRE]</w:t>
      </w:r>
      <w:r>
        <w:t xml:space="preserve"> parts, numérotées de </w:t>
      </w:r>
      <w:r>
        <w:rPr>
          <w:b/>
          <w:highlight w:val="yellow"/>
        </w:rPr>
        <w:t xml:space="preserve">[NUMERO]</w:t>
      </w:r>
      <w:r>
        <w:t xml:space="preserve"> à </w:t>
      </w:r>
      <w:r>
        <w:rPr>
          <w:b/>
          <w:highlight w:val="yellow"/>
        </w:rPr>
        <w:t xml:space="preserve">[NUMERO]</w:t>
      </w:r>
      <w:r>
        <w:t xml:space="preserve">.</w:t>
      </w:r>
    </w:p>
    <w:p>
      <w:pPr>
        <w:spacing w:before="0" w:after="120"/>
      </w:pPr>
      <w:r>
        <w:t xml:space="preserve">Total : </w:t>
      </w:r>
      <w:r>
        <w:rPr>
          <w:b/>
          <w:highlight w:val="yellow"/>
        </w:rPr>
        <w:t xml:space="preserve">[NOMBRE DE PARTS]</w:t>
      </w:r>
      <w:r>
        <w:t xml:space="preserve"> parts sociales composant le capital social.</w:t>
      </w:r>
    </w:p>
    <w:p>
      <w:pPr>
        <w:spacing w:before="0" w:after="100"/>
      </w:pPr>
      <w:r>
        <w:rPr>
          <w:i/>
          <w:sz w:val="16"/>
          <w:szCs w:val="16"/>
          <w:color w:val="5A6B7C"/>
        </w:rPr>
        <w:t xml:space="preserve">Article 566 dans sa rédaction issue de la loi 15-20 du 30 décembre 2015 : le capital social de la SARL est fixé LIBREMENT par les associés dans les statuts, et il est divisé en parts sociales égales. Le capital minimum de 100 000 dinars et le montant minimal de 1 000 dinars par part ont été supprimés par cette loi. Les sites et modèles qui citent encore ces seuils reproduisent la version antérieure à 2015. Article 567 : la répartition des parts entre les associés doit figurer dans les statuts.</w:t>
      </w:r>
    </w:p>
    <w:p>
      <w:pPr>
        <w:spacing w:before="180" w:after="100"/>
      </w:pPr>
      <w:r>
        <w:rPr>
          <w:b/>
          <w:sz w:val="22"/>
          <w:szCs w:val="22"/>
          <w:color w:val="1E4E79"/>
        </w:rPr>
        <w:t xml:space="preserve">Article 8. Libération des parts (art. 567 et 567 bis 1)</w:t>
      </w:r>
    </w:p>
    <w:p>
      <w:pPr>
        <w:spacing w:before="0" w:after="120"/>
      </w:pPr>
      <w:r>
        <w:t xml:space="preserve">Les parts représentatives d'apports en nature sont intégralement libérées lors de la constitution. Les parts représentatives d'apports en numéraire sont libérées d'au moins un cinquième de leur montant, soit </w:t>
      </w:r>
      <w:r>
        <w:rPr>
          <w:b/>
          <w:highlight w:val="yellow"/>
        </w:rPr>
        <w:t xml:space="preserve">[MONTANT LIBERE]</w:t>
      </w:r>
      <w:r>
        <w:t xml:space="preserve"> dinars algériens. Le surplus est libéré en une ou plusieurs fois sur décision du gérant, dans un délai qui ne peut excéder cinq années à compter de l'immatriculation de la société au registre du commerce.</w:t>
      </w:r>
    </w:p>
    <w:p>
      <w:pPr>
        <w:spacing w:before="0" w:after="120"/>
      </w:pPr>
      <w:r>
        <w:t xml:space="preserve">Le capital social doit être intégralement libéré avant toute souscription de nouvelles parts sociales à libérer en numéraire, à peine de nullité de l'opération.</w:t>
      </w:r>
    </w:p>
    <w:p>
      <w:pPr>
        <w:spacing w:before="0" w:after="100"/>
      </w:pPr>
      <w:r>
        <w:rPr>
          <w:i/>
          <w:sz w:val="16"/>
          <w:szCs w:val="16"/>
          <w:color w:val="5A6B7C"/>
        </w:rPr>
        <w:t xml:space="preserve">Article 567, rédaction issue de la loi 15-20. Les fonds déposés en l'étude du notaire sont remis au gérant après immatriculation de la société au registre du commerce. Article 567 bis 1 : si la société n'est pas constituée dans un délai de six mois à compter du dépôt, tout associé peut demander au notaire la restitution de son apport.</w:t>
      </w:r>
    </w:p>
    <w:p>
      <w:pPr>
        <w:spacing w:before="180" w:after="100"/>
      </w:pPr>
      <w:r>
        <w:rPr>
          <w:b/>
          <w:sz w:val="22"/>
          <w:szCs w:val="22"/>
          <w:color w:val="1E4E79"/>
        </w:rPr>
        <w:t xml:space="preserve">Article 9. Parts sociales et droits attachés (clause d'usage, sous réserve de l'art. 581)</w:t>
      </w:r>
    </w:p>
    <w:p>
      <w:pPr>
        <w:spacing w:before="0" w:after="120"/>
      </w:pPr>
      <w:r>
        <w:t xml:space="preserve">Chaque part sociale donne droit à une voix dans les décisions collectives et à une fraction des bénéfices et de l'actif social proportionnelle au nombre de parts existantes. Les parts sont indivisibles à l'égard de la société, les copropriétaires indivis étant tenus de se faire représenter par un mandataire unique.</w:t>
      </w:r>
    </w:p>
    <w:p>
      <w:pPr>
        <w:spacing w:before="0" w:after="100"/>
      </w:pPr>
      <w:r>
        <w:rPr>
          <w:i/>
          <w:sz w:val="16"/>
          <w:szCs w:val="16"/>
          <w:color w:val="5A6B7C"/>
        </w:rPr>
        <w:t xml:space="preserve">L'égalité de vote par part résulte de l'article 581. L'indivisibilité des parts à l'égard de la société est une clause d'usage.</w:t>
      </w:r>
    </w:p>
    <w:p>
      <w:pPr>
        <w:spacing w:before="180" w:after="100"/>
      </w:pPr>
      <w:r>
        <w:rPr>
          <w:b/>
          <w:sz w:val="22"/>
          <w:szCs w:val="22"/>
          <w:color w:val="1E4E79"/>
        </w:rPr>
        <w:t xml:space="preserve">Article 10. Cession et transmission des parts (art. 570, 571 et 572, disposition impérative)</w:t>
      </w:r>
    </w:p>
    <w:p>
      <w:pPr>
        <w:spacing w:before="0" w:after="120"/>
      </w:pPr>
      <w:r>
        <w:t xml:space="preserve">Les parts sociales sont librement transmissibles par voie de succession et librement cessibles entre conjoints, ascendants et descendants.</w:t>
      </w:r>
    </w:p>
    <w:p>
      <w:pPr>
        <w:spacing w:before="0" w:after="120"/>
      </w:pPr>
      <w:r>
        <w:t xml:space="preserve">Les parts sociales ne peuvent être cédées à des tiers étrangers à la société qu'avec le consentement de la majorité des associés représentant au moins les trois quarts du capital social. Le projet de cession est notifié à la société et à chacun des associés. Si la société n'a pas fait connaître sa décision dans le délai de trois mois à compter de la dernière des notifications, le consentement à la cession est réputé acquis.</w:t>
      </w:r>
    </w:p>
    <w:p>
      <w:pPr>
        <w:spacing w:before="0" w:after="120"/>
      </w:pPr>
      <w:r>
        <w:t xml:space="preserve">En cas de refus, les associés sont tenus, dans le délai de trois mois à compter de ce refus, d'acquérir ou de faire acquérir les parts à un prix fixé par un expert agréé, désigné par ordonnance du président du tribunal à défaut d'accord entre les parties. Ce délai peut être prorogé une fois par décision de justice sans que cette prolongation puisse excéder six mois. La société peut également, avec le consentement de l'associé cédant, décider de réduire son capital du montant de la valeur nominale des parts et de les racheter. Si aucune de ces solutions n'intervient dans les délais, l'associé peut réaliser la cession initialement prévue.</w:t>
      </w:r>
    </w:p>
    <w:p>
      <w:pPr>
        <w:spacing w:before="0" w:after="120"/>
      </w:pPr>
      <w:r>
        <w:t xml:space="preserve">Toute cession de parts sociales est constatée par acte authentique.</w:t>
      </w:r>
    </w:p>
    <w:p>
      <w:pPr>
        <w:spacing w:before="0" w:after="100"/>
      </w:pPr>
      <w:r>
        <w:rPr>
          <w:i/>
          <w:sz w:val="16"/>
          <w:szCs w:val="16"/>
          <w:color w:val="5A6B7C"/>
        </w:rPr>
        <w:t xml:space="preserve">Articles 570, 571 et 572. L'article 571 se termine par la formule : toute clause contraire aux dispositions du présent article est réputée non écrite. Vous pouvez rappeler cette règle dans vos statuts, vous ne pouvez pas l'assouplir. Une clause d'agrément visant le conjoint, les ascendants ou les descendants reste possible sur le fondement de l'article 570, mais ses délais ne peuvent excéder et sa majorité ne peut être plus forte que celle de l'article 571.</w:t>
      </w:r>
    </w:p>
    <w:p>
      <w:pPr>
        <w:spacing w:before="180" w:after="100"/>
      </w:pPr>
      <w:r>
        <w:rPr>
          <w:b/>
          <w:sz w:val="22"/>
          <w:szCs w:val="22"/>
          <w:color w:val="1E4E79"/>
        </w:rPr>
        <w:t xml:space="preserve">Article 11. Décès, interdiction ou faillite d'un associé (art. 589 al. 1)</w:t>
      </w:r>
    </w:p>
    <w:p>
      <w:pPr>
        <w:spacing w:before="0" w:after="120"/>
      </w:pPr>
      <w:r>
        <w:t xml:space="preserve">La société n'est dissoute ni par l'interdiction, ni par la faillite, ni par le décès de l'un des associés. Elle continue entre les associés survivants et les héritiers ou ayants droit de l'associé décédé.</w:t>
      </w:r>
    </w:p>
    <w:p>
      <w:pPr>
        <w:spacing w:before="0" w:after="100"/>
      </w:pPr>
      <w:r>
        <w:rPr>
          <w:i/>
          <w:sz w:val="16"/>
          <w:szCs w:val="16"/>
          <w:color w:val="5A6B7C"/>
        </w:rPr>
        <w:t xml:space="preserve">Article 589 alinéa 1. La continuation est la règle par défaut en droit algérien. Une clause de continuation est donc sans effet utile : c'est la clause INVERSE, prévoyant la dissolution au décès, qui modifierait le droit applicable. Les modèles français recopiés font ici le contraire de ce qu'il faut.</w:t>
      </w:r>
    </w:p>
    <w:p>
      <w:pPr>
        <w:spacing w:before="260" w:after="120"/>
      </w:pPr>
      <w:r>
        <w:rPr>
          <w:b/>
          <w:sz w:val="26"/>
          <w:szCs w:val="26"/>
          <w:color w:val="1E4E79"/>
        </w:rPr>
        <w:t xml:space="preserve">TITRE III. GÉRANCE</w:t>
      </w:r>
    </w:p>
    <w:p>
      <w:pPr>
        <w:spacing w:before="180" w:after="100"/>
      </w:pPr>
      <w:r>
        <w:rPr>
          <w:b/>
          <w:sz w:val="22"/>
          <w:szCs w:val="22"/>
          <w:color w:val="1E4E79"/>
        </w:rPr>
        <w:t xml:space="preserve">Article 12. Nomination du gérant (art. 576)</w:t>
      </w:r>
    </w:p>
    <w:p>
      <w:pPr>
        <w:spacing w:before="0" w:after="120"/>
      </w:pPr>
      <w:r>
        <w:t xml:space="preserve">La société est gérée et administrée par une ou plusieurs personnes physiques, associées ou non, nommées par les associés représentant plus de la moitié du capital social, dans les statuts ou par un acte postérieur.</w:t>
      </w:r>
    </w:p>
    <w:p>
      <w:pPr>
        <w:spacing w:before="0" w:after="120"/>
      </w:pPr>
      <w:r>
        <w:t xml:space="preserve">Est nommé premier gérant de la société, pour une durée de </w:t>
      </w:r>
      <w:r>
        <w:rPr>
          <w:b/>
          <w:highlight w:val="yellow"/>
        </w:rPr>
        <w:t xml:space="preserve">[DUREE DU MANDAT]</w:t>
      </w:r>
      <w:r>
        <w:t xml:space="preserve"> : Monsieur ou Madame </w:t>
      </w:r>
      <w:r>
        <w:rPr>
          <w:b/>
          <w:highlight w:val="yellow"/>
        </w:rPr>
        <w:t xml:space="preserve">[NOM ET PRENOM DU GERANT]</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[NATIONALITE]</w:t>
      </w:r>
      <w:r>
        <w:t xml:space="preserve">, demeurant à </w:t>
      </w:r>
      <w:r>
        <w:rPr>
          <w:b/>
          <w:highlight w:val="yellow"/>
        </w:rPr>
        <w:t xml:space="preserve">[ADRESSE]</w:t>
      </w:r>
      <w:r>
        <w:t xml:space="preserve">, titulaire de la pièce d'identité n° </w:t>
      </w:r>
      <w:r>
        <w:rPr>
          <w:b/>
          <w:highlight w:val="yellow"/>
        </w:rPr>
        <w:t xml:space="preserve">[NUMERO DE PIECE D IDENTITE]</w:t>
      </w:r>
      <w:r>
        <w:t xml:space="preserve">, qui accepte.</w:t>
      </w:r>
    </w:p>
    <w:p>
      <w:pPr>
        <w:spacing w:before="0" w:after="100"/>
      </w:pPr>
      <w:r>
        <w:rPr>
          <w:i/>
          <w:sz w:val="16"/>
          <w:szCs w:val="16"/>
          <w:color w:val="5A6B7C"/>
        </w:rPr>
        <w:t xml:space="preserve">Article 576 : le gérant est nécessairement une personne physique, une société ne peut pas être gérante d'une SARL. Aucune disposition du code de commerce ne fixe de durée maximale au mandat de gérant d'une SARL, la durée relève donc des statuts.</w:t>
      </w:r>
    </w:p>
    <w:p>
      <w:pPr>
        <w:spacing w:before="180" w:after="100"/>
      </w:pPr>
      <w:r>
        <w:rPr>
          <w:b/>
          <w:sz w:val="22"/>
          <w:szCs w:val="22"/>
          <w:color w:val="1E4E79"/>
        </w:rPr>
        <w:t xml:space="preserve">Article 13. Pouvoirs de la gérance (art. 577)</w:t>
      </w:r>
    </w:p>
    <w:p>
      <w:pPr>
        <w:spacing w:before="0" w:after="120"/>
      </w:pPr>
      <w:r>
        <w:t xml:space="preserve">Dans les rapports avec les tiers, le gérant est investi des pouvoirs les plus étendus pour agir en toute circonstance au nom de la société, sous réserve des pouvoirs que la loi attribue expressément aux associés. Les limitations de pouvoirs prévues aux présents statuts sont inopposables aux tiers.</w:t>
      </w:r>
    </w:p>
    <w:p>
      <w:pPr>
        <w:spacing w:before="0" w:after="120"/>
      </w:pPr>
      <w:r>
        <w:t xml:space="preserve">Dans les rapports entre associés, le gérant doit obtenir l'accord préalable des associés pour les opérations suivantes : </w:t>
      </w:r>
      <w:r>
        <w:rPr>
          <w:b/>
          <w:highlight w:val="yellow"/>
        </w:rPr>
        <w:t xml:space="preserve">[LISTE DES OPERATIONS SOUMISES A AUTORISATION PREALABLE]</w:t>
      </w:r>
      <w:r>
        <w:t xml:space="preserve">.</w:t>
      </w:r>
    </w:p>
    <w:p>
      <w:pPr>
        <w:spacing w:before="0" w:after="120"/>
      </w:pPr>
      <w:r>
        <w:t xml:space="preserve">En cas de pluralité de gérants, chacun détient séparément les pouvoirs prévus au présent article.</w:t>
      </w:r>
    </w:p>
    <w:p>
      <w:pPr>
        <w:spacing w:before="0" w:after="100"/>
      </w:pPr>
      <w:r>
        <w:rPr>
          <w:i/>
          <w:sz w:val="16"/>
          <w:szCs w:val="16"/>
          <w:color w:val="5A6B7C"/>
        </w:rPr>
        <w:t xml:space="preserve">Article 577. La liste des opérations soumises à autorisation est une clause d'usage : elle produit ses effets entre associés, jamais à l'égard des tiers.</w:t>
      </w:r>
    </w:p>
    <w:p>
      <w:pPr>
        <w:spacing w:before="180" w:after="100"/>
      </w:pPr>
      <w:r>
        <w:rPr>
          <w:b/>
          <w:sz w:val="22"/>
          <w:szCs w:val="22"/>
          <w:color w:val="1E4E79"/>
        </w:rPr>
        <w:t xml:space="preserve">Article 14. Révocation et démission (art. 579, disposition impérative)</w:t>
      </w:r>
    </w:p>
    <w:p>
      <w:pPr>
        <w:spacing w:before="0" w:after="120"/>
      </w:pPr>
      <w:r>
        <w:t xml:space="preserve">Le gérant est révocable par décision des associés représentant plus de la moitié du capital social. Si la révocation est décidée sans juste motif, elle peut donner lieu à des dommages et intérêts. Le gérant est en outre révocable par les tribunaux pour cause légitime, à la demande de tout associé.</w:t>
      </w:r>
    </w:p>
    <w:p>
      <w:pPr>
        <w:spacing w:before="0" w:after="120"/>
      </w:pPr>
      <w:r>
        <w:t xml:space="preserve">Le gérant peut démissionner à charge d'informer les associés </w:t>
      </w:r>
      <w:r>
        <w:rPr>
          <w:b/>
          <w:highlight w:val="yellow"/>
        </w:rPr>
        <w:t xml:space="preserve">[DELAI DE PREAVIS]</w:t>
      </w:r>
      <w:r>
        <w:t xml:space="preserve"> à l'avance par lettre recommandée avec accusé de réception.</w:t>
      </w:r>
    </w:p>
    <w:p>
      <w:pPr>
        <w:spacing w:before="0" w:after="100"/>
      </w:pPr>
      <w:r>
        <w:rPr>
          <w:i/>
          <w:sz w:val="16"/>
          <w:szCs w:val="16"/>
          <w:color w:val="5A6B7C"/>
        </w:rPr>
        <w:t xml:space="preserve">Article 579 : toute clause contraire à la règle de révocation à la majorité de plus de la moitié du capital est réputée non écrite. Le préavis de démission est une clause d'usage.</w:t>
      </w:r>
    </w:p>
    <w:p>
      <w:pPr>
        <w:spacing w:before="180" w:after="100"/>
      </w:pPr>
      <w:r>
        <w:rPr>
          <w:b/>
          <w:sz w:val="22"/>
          <w:szCs w:val="22"/>
          <w:color w:val="1E4E79"/>
        </w:rPr>
        <w:t xml:space="preserve">Article 15. Rémunération de la gérance (clause d'usage)</w:t>
      </w:r>
    </w:p>
    <w:p>
      <w:pPr>
        <w:spacing w:before="0" w:after="120"/>
      </w:pPr>
      <w:r>
        <w:t xml:space="preserve">La gérance perçoit une rémunération dont le montant et les modalités sont fixés par décision des associés. Le gérant est remboursé des frais engagés dans l'intérêt de la société sur présentation des justificatifs.</w:t>
      </w:r>
    </w:p>
    <w:p>
      <w:pPr>
        <w:spacing w:before="260" w:after="120"/>
      </w:pPr>
      <w:r>
        <w:rPr>
          <w:b/>
          <w:sz w:val="26"/>
          <w:szCs w:val="26"/>
          <w:color w:val="1E4E79"/>
        </w:rPr>
        <w:t xml:space="preserve">TITRE IV. DÉCISIONS COLLECTIVES</w:t>
      </w:r>
    </w:p>
    <w:p>
      <w:pPr>
        <w:spacing w:before="180" w:after="100"/>
      </w:pPr>
      <w:r>
        <w:rPr>
          <w:b/>
          <w:sz w:val="22"/>
          <w:szCs w:val="22"/>
          <w:color w:val="1E4E79"/>
        </w:rPr>
        <w:t xml:space="preserve">Article 16. Convocation et information (art. 580 et 581)</w:t>
      </w:r>
    </w:p>
    <w:p>
      <w:pPr>
        <w:spacing w:before="0" w:after="120"/>
      </w:pPr>
      <w:r>
        <w:t xml:space="preserve">Les associés sont convoqués par le gérant quinze jours au moins avant la réunion, par lettre recommandée indiquant l'ordre du jour. Les décisions peuvent également résulter d'une consultation écrite, à l'exception de l'assemblée annuelle d'approbation des comptes. Un ou plusieurs associés représentant le quart du capital social peuvent demander la réunion d'une assemblée.</w:t>
      </w:r>
    </w:p>
    <w:p>
      <w:pPr>
        <w:spacing w:before="0" w:after="120"/>
      </w:pPr>
      <w:r>
        <w:t xml:space="preserve">Chaque associé dispose d'un nombre de voix égal au nombre de parts sociales qu'il possède.</w:t>
      </w:r>
    </w:p>
    <w:p>
      <w:pPr>
        <w:spacing w:before="0" w:after="100"/>
      </w:pPr>
      <w:r>
        <w:rPr>
          <w:i/>
          <w:sz w:val="16"/>
          <w:szCs w:val="16"/>
          <w:color w:val="5A6B7C"/>
        </w:rPr>
        <w:t xml:space="preserve">Articles 580 et 581. L'article 580 précise que toute clause contraire au droit des associés représentant le quart du capital de demander une assemblée est réputée non écrite.</w:t>
      </w:r>
    </w:p>
    <w:p>
      <w:pPr>
        <w:spacing w:before="180" w:after="100"/>
      </w:pPr>
      <w:r>
        <w:rPr>
          <w:b/>
          <w:sz w:val="22"/>
          <w:szCs w:val="22"/>
          <w:color w:val="1E4E79"/>
        </w:rPr>
        <w:t xml:space="preserve">Article 17. Décisions ordinaires (art. 582)</w:t>
      </w:r>
    </w:p>
    <w:p>
      <w:pPr>
        <w:spacing w:before="0" w:after="120"/>
      </w:pPr>
      <w:r>
        <w:t xml:space="preserve">Les décisions autres que celles qui modifient les statuts sont adoptées par un ou plusieurs associés représentant plus de la moitié du capital social. Si cette majorité n'est pas obtenue à la première consultation, les associés sont consultés une seconde fois et les décisions sont prises à la majorité des votes émis, quelle que soit la portion du capital représentée.</w:t>
      </w:r>
    </w:p>
    <w:p>
      <w:pPr>
        <w:spacing w:before="180" w:after="100"/>
      </w:pPr>
      <w:r>
        <w:rPr>
          <w:b/>
          <w:sz w:val="22"/>
          <w:szCs w:val="22"/>
          <w:color w:val="1E4E79"/>
        </w:rPr>
        <w:t xml:space="preserve">Article 18. Décisions modifiant les statuts (art. 586)</w:t>
      </w:r>
    </w:p>
    <w:p>
      <w:pPr>
        <w:spacing w:before="0" w:after="120"/>
      </w:pPr>
      <w:r>
        <w:t xml:space="preserve">Toutes modifications des statuts sont décidées par les associés représentant les trois quarts du capital social. En aucun cas la majorité ne peut obliger un associé à augmenter sa part sociale.</w:t>
      </w:r>
    </w:p>
    <w:p>
      <w:pPr>
        <w:spacing w:before="0" w:after="100"/>
      </w:pPr>
      <w:r>
        <w:rPr>
          <w:i/>
          <w:sz w:val="16"/>
          <w:szCs w:val="16"/>
          <w:color w:val="5A6B7C"/>
        </w:rPr>
        <w:t xml:space="preserve">Article 586. La majorité des trois quarts s'applique sauf stipulation contraire des statuts, c'est donc une règle supplétive pour les modifications statutaires en général. Elle ne doit pas être confondue avec la majorité des trois quarts de l'article 571 sur la cession de parts à des tiers, qui est impérative.</w:t>
      </w:r>
    </w:p>
    <w:p>
      <w:pPr>
        <w:spacing w:before="180" w:after="100"/>
      </w:pPr>
      <w:r>
        <w:rPr>
          <w:b/>
          <w:sz w:val="22"/>
          <w:szCs w:val="22"/>
          <w:color w:val="1E4E79"/>
        </w:rPr>
        <w:t xml:space="preserve">Article 19. Procès-verbaux (art. 583)</w:t>
      </w:r>
    </w:p>
    <w:p>
      <w:pPr>
        <w:spacing w:before="0" w:after="120"/>
      </w:pPr>
      <w:r>
        <w:t xml:space="preserve">Toute délibération de l'assemblée des associés est constatée par un procès-verbal indiquant la date et le lieu de la réunion, les nom et prénoms des associés présents, les documents et rapports soumis à discussion, un résumé des débats, le texte des résolutions mises aux voix et le résultat des votes. L'assemblée est présidée par le gérant.</w:t>
      </w:r>
    </w:p>
    <w:p>
      <w:pPr>
        <w:spacing w:before="260" w:after="120"/>
      </w:pPr>
      <w:r>
        <w:rPr>
          <w:b/>
          <w:sz w:val="26"/>
          <w:szCs w:val="26"/>
          <w:color w:val="1E4E79"/>
        </w:rPr>
        <w:t xml:space="preserve">TITRE V. EXERCICE SOCIAL, COMPTES ET RÉSULTATS</w:t>
      </w:r>
    </w:p>
    <w:p>
      <w:pPr>
        <w:spacing w:before="180" w:after="100"/>
      </w:pPr>
      <w:r>
        <w:rPr>
          <w:b/>
          <w:sz w:val="22"/>
          <w:szCs w:val="22"/>
          <w:color w:val="1E4E79"/>
        </w:rPr>
        <w:t xml:space="preserve">Article 20. Exercice social (clause d'usage)</w:t>
      </w:r>
    </w:p>
    <w:p>
      <w:pPr>
        <w:spacing w:before="0" w:after="120"/>
      </w:pPr>
      <w:r>
        <w:t xml:space="preserve">L'exercice social commence le </w:t>
      </w:r>
      <w:r>
        <w:rPr>
          <w:b/>
          <w:highlight w:val="yellow"/>
        </w:rPr>
        <w:t xml:space="preserve">[DATE DE DEBUT D EXERCICE]</w:t>
      </w:r>
      <w:r>
        <w:t xml:space="preserve"> et se termine le </w:t>
      </w:r>
      <w:r>
        <w:rPr>
          <w:b/>
          <w:highlight w:val="yellow"/>
        </w:rPr>
        <w:t xml:space="preserve">[DATE DE FIN D EXERCICE]</w:t>
      </w:r>
      <w:r>
        <w:t xml:space="preserve">. Par exception, le premier exercice commence à compter de l'immatriculation de la société au registre du commerce et se termine le </w:t>
      </w:r>
      <w:r>
        <w:rPr>
          <w:b/>
          <w:highlight w:val="yellow"/>
        </w:rPr>
        <w:t xml:space="preserve">[DATE DE CLOTURE DU PREMIER EXERCICE]</w:t>
      </w:r>
      <w:r>
        <w:t xml:space="preserve">.</w:t>
      </w:r>
    </w:p>
    <w:p>
      <w:pPr>
        <w:spacing w:before="0" w:after="100"/>
      </w:pPr>
      <w:r>
        <w:rPr>
          <w:i/>
          <w:sz w:val="16"/>
          <w:szCs w:val="16"/>
          <w:color w:val="5A6B7C"/>
        </w:rPr>
        <w:t xml:space="preserve">Aucun article du code de commerce ne fixe les dates de l'exercice social d'une SARL. La seule contrainte légale est celle de l'article 584 : les comptes doivent être approuvés dans les six mois de la clôture de l'exercice.</w:t>
      </w:r>
    </w:p>
    <w:p>
      <w:pPr>
        <w:spacing w:before="180" w:after="100"/>
      </w:pPr>
      <w:r>
        <w:rPr>
          <w:b/>
          <w:sz w:val="22"/>
          <w:szCs w:val="22"/>
          <w:color w:val="1E4E79"/>
        </w:rPr>
        <w:t xml:space="preserve">Article 21. Comptes annuels (art. 584)</w:t>
      </w:r>
    </w:p>
    <w:p>
      <w:pPr>
        <w:spacing w:before="0" w:after="120"/>
      </w:pPr>
      <w:r>
        <w:t xml:space="preserve">Le gérant dresse l'inventaire, les comptes annuels et le rapport de gestion. Les associés approuvent les comptes dans le délai de six mois à compter de la clôture de l'exercice.</w:t>
      </w:r>
    </w:p>
    <w:p>
      <w:pPr>
        <w:spacing w:before="180" w:after="100"/>
      </w:pPr>
      <w:r>
        <w:rPr>
          <w:b/>
          <w:sz w:val="22"/>
          <w:szCs w:val="22"/>
          <w:color w:val="1E4E79"/>
        </w:rPr>
        <w:t xml:space="preserve">Article 22. Commissaire aux comptes (loi de finances 2011, art. 66)</w:t>
      </w:r>
    </w:p>
    <w:p>
      <w:pPr>
        <w:spacing w:before="0" w:after="120"/>
      </w:pPr>
      <w:r>
        <w:t xml:space="preserve">Lorsque le chiffre d'affaires de la société atteint le seuil légal, l'assemblée des associés désigne, pour trois exercices, un ou plusieurs commissaires aux comptes inscrits au tableau de la Chambre nationale des commissaires aux comptes.</w:t>
      </w:r>
    </w:p>
    <w:p>
      <w:pPr>
        <w:spacing w:before="0" w:after="100"/>
      </w:pPr>
      <w:r>
        <w:rPr>
          <w:i/>
          <w:sz w:val="16"/>
          <w:szCs w:val="16"/>
          <w:color w:val="5A6B7C"/>
        </w:rPr>
        <w:t xml:space="preserve">Article 44 de la loi 09-09, remplacé par l'article 66 de la loi de finances pour 2011 : les sociétés dont le chiffre d'affaires est inférieur à 10 000 000 de dinars ne sont pas tenues de faire certifier leurs comptes par un commissaire aux comptes. Le défaut de désignation lorsqu'elle est due est sanctionné par une amende de 100 000 à 1 000 000 de dinars.</w:t>
      </w:r>
    </w:p>
    <w:p>
      <w:pPr>
        <w:spacing w:before="180" w:after="100"/>
      </w:pPr>
      <w:r>
        <w:rPr>
          <w:b/>
          <w:sz w:val="22"/>
          <w:szCs w:val="22"/>
          <w:color w:val="1E4E79"/>
        </w:rPr>
        <w:t xml:space="preserve">Article 23. Affectation du résultat (art. 721 et 722, disposition impérative)</w:t>
      </w:r>
    </w:p>
    <w:p>
      <w:pPr>
        <w:spacing w:before="0" w:after="120"/>
      </w:pPr>
      <w:r>
        <w:t xml:space="preserve">Sur le bénéfice net de l'exercice, diminué le cas échéant des pertes antérieures, il est prélevé au moins un vingtième affecté à la formation du fonds de réserve légale. Ce prélèvement cesse d'être obligatoire lorsque la réserve atteint le dixième du capital social. Le solde, augmenté du report bénéficiaire, constitue le bénéfice distribuable dont les associés déterminent l'affectation.</w:t>
      </w:r>
    </w:p>
    <w:p>
      <w:pPr>
        <w:spacing w:before="0" w:after="100"/>
      </w:pPr>
      <w:r>
        <w:rPr>
          <w:i/>
          <w:sz w:val="16"/>
          <w:szCs w:val="16"/>
          <w:color w:val="5A6B7C"/>
        </w:rPr>
        <w:t xml:space="preserve">Article 721 : la règle du vingtième, soit 5 pour cent, plafonnée au dixième du capital, soit 10 pour cent, s'impose à peine de nullité de toute délibération contraire. Article 722 pour la définition du bénéfice distribuable. Article 426 du code civil : toute clause excluant un associé de la participation aux bénéfices ou aux pertes entraîne la nullité du contrat de société lui-même, et pas seulement de la clause.</w:t>
      </w:r>
    </w:p>
    <w:p>
      <w:pPr>
        <w:spacing w:before="260" w:after="120"/>
      </w:pPr>
      <w:r>
        <w:rPr>
          <w:b/>
          <w:sz w:val="26"/>
          <w:szCs w:val="26"/>
          <w:color w:val="1E4E79"/>
        </w:rPr>
        <w:t xml:space="preserve">TITRE VI. DISSOLUTION ET LIQUIDATION</w:t>
      </w:r>
    </w:p>
    <w:p>
      <w:pPr>
        <w:spacing w:before="180" w:after="100"/>
      </w:pPr>
      <w:r>
        <w:rPr>
          <w:b/>
          <w:sz w:val="22"/>
          <w:szCs w:val="22"/>
          <w:color w:val="1E4E79"/>
        </w:rPr>
        <w:t xml:space="preserve">Article 24. Perte des trois quarts du capital (art. 589)</w:t>
      </w:r>
    </w:p>
    <w:p>
      <w:pPr>
        <w:spacing w:before="0" w:after="120"/>
      </w:pPr>
      <w:r>
        <w:t xml:space="preserve">Si, du fait des pertes constatées dans les documents comptables, l'actif net devient inférieur au quart du capital social, les associés sont consultés à l'effet de statuer sur la question. La décision est publiée, déposée au greffe et inscrite au registre du commerce dans les conditions prévues par la loi.</w:t>
      </w:r>
    </w:p>
    <w:p>
      <w:pPr>
        <w:spacing w:before="180" w:after="100"/>
      </w:pPr>
      <w:r>
        <w:rPr>
          <w:b/>
          <w:sz w:val="22"/>
          <w:szCs w:val="22"/>
          <w:color w:val="1E4E79"/>
        </w:rPr>
        <w:t xml:space="preserve">Article 25. Dépassement du nombre d'associés (art. 590)</w:t>
      </w:r>
    </w:p>
    <w:p>
      <w:pPr>
        <w:spacing w:before="0" w:after="120"/>
      </w:pPr>
      <w:r>
        <w:t xml:space="preserve">Le nombre des associés ne peut être supérieur à cinquante. Si la société vient à compter plus de cinquante associés, elle doit être transformée en société par actions dans le délai d'un an, faute de quoi elle est dissoute, à moins que le nombre des associés ne soit ramené à cinquante ou moins dans ce délai.</w:t>
      </w:r>
    </w:p>
    <w:p>
      <w:pPr>
        <w:spacing w:before="0" w:after="100"/>
      </w:pPr>
      <w:r>
        <w:rPr>
          <w:i/>
          <w:sz w:val="16"/>
          <w:szCs w:val="16"/>
          <w:color w:val="5A6B7C"/>
        </w:rPr>
        <w:t xml:space="preserve">Article 590 dans sa rédaction issue de la loi 15-20.</w:t>
      </w:r>
    </w:p>
    <w:p>
      <w:pPr>
        <w:spacing w:before="180" w:after="100"/>
      </w:pPr>
      <w:r>
        <w:rPr>
          <w:b/>
          <w:sz w:val="22"/>
          <w:szCs w:val="22"/>
          <w:color w:val="1E4E79"/>
        </w:rPr>
        <w:t xml:space="preserve">Article 26. Dissolution et liquidation (clause d'usage, régime légal supplétif)</w:t>
      </w:r>
    </w:p>
    <w:p>
      <w:pPr>
        <w:spacing w:before="0" w:after="120"/>
      </w:pPr>
      <w:r>
        <w:t xml:space="preserve">La société est dissoute à l'arrivée du terme, par décision des associés prise dans les conditions prévues pour la modification des statuts, ou dans les cas prévus par la loi. La liquidation est effectuée conformément aux dispositions du code de commerce. Le liquidateur est désigné par les associés. Après règlement du passif et remboursement du capital, le boni de liquidation est réparti entre les associés proportionnellement au nombre de leurs parts.</w:t>
      </w:r>
    </w:p>
    <w:p>
      <w:pPr>
        <w:spacing w:before="180" w:after="100"/>
      </w:pPr>
      <w:r>
        <w:rPr>
          <w:b/>
          <w:sz w:val="22"/>
          <w:szCs w:val="22"/>
          <w:color w:val="1E4E79"/>
        </w:rPr>
        <w:t xml:space="preserve">Article 27. Contestations (clause d'usage)</w:t>
      </w:r>
    </w:p>
    <w:p>
      <w:pPr>
        <w:spacing w:before="0" w:after="120"/>
      </w:pPr>
      <w:r>
        <w:t xml:space="preserve">Toutes contestations relatives aux affaires sociales sont soumises aux juridictions compétentes du lieu du siège social.</w:t>
      </w:r>
    </w:p>
    <w:p>
      <w:pPr>
        <w:spacing w:before="260" w:after="120"/>
      </w:pPr>
      <w:r>
        <w:rPr>
          <w:b/>
          <w:sz w:val="26"/>
          <w:szCs w:val="26"/>
          <w:color w:val="1E4E79"/>
        </w:rPr>
        <w:t xml:space="preserve">TITRE VII. CONSTITUTION ET FORMALITÉS</w:t>
      </w:r>
    </w:p>
    <w:p>
      <w:pPr>
        <w:spacing w:before="180" w:after="100"/>
      </w:pPr>
      <w:r>
        <w:rPr>
          <w:b/>
          <w:sz w:val="22"/>
          <w:szCs w:val="22"/>
          <w:color w:val="1E4E79"/>
        </w:rPr>
        <w:t xml:space="preserve">Article 28. Personnalité morale et actes accomplis avant l'immatriculation (art. 549)</w:t>
      </w:r>
    </w:p>
    <w:p>
      <w:pPr>
        <w:spacing w:before="0" w:after="120"/>
      </w:pPr>
      <w:r>
        <w:t xml:space="preserve">La société ne jouit de la personnalité morale qu'à compter de son immatriculation au registre du commerce. Les personnes qui ont agi au nom de la société en formation avant qu'elle ait acquis la personnalité morale sont tenues solidairement et indéfiniment des actes ainsi accomplis, à moins que la société, après avoir été régulièrement constituée et immatriculée, ne reprenne les engagements souscrits, qui sont alors réputés avoir été souscrits dès l'origine par la société.</w:t>
      </w:r>
    </w:p>
    <w:p>
      <w:pPr>
        <w:spacing w:before="0" w:after="120"/>
      </w:pPr>
      <w:r>
        <w:t xml:space="preserve">L'état des actes accomplis pour le compte de la société en formation est annexé aux présents statuts.</w:t>
      </w:r>
    </w:p>
    <w:p>
      <w:pPr>
        <w:spacing w:before="180" w:after="100"/>
      </w:pPr>
      <w:r>
        <w:rPr>
          <w:b/>
          <w:sz w:val="22"/>
          <w:szCs w:val="22"/>
          <w:color w:val="1E4E79"/>
        </w:rPr>
        <w:t xml:space="preserve">Article 29. Publicité et pouvoirs (art. 548)</w:t>
      </w:r>
    </w:p>
    <w:p>
      <w:pPr>
        <w:spacing w:before="0" w:after="120"/>
      </w:pPr>
      <w:r>
        <w:t xml:space="preserve">Les actes constitutifs doivent, à peine de nullité, être publiés au Centre National du Registre du Commerce. Tous pouvoirs sont donnés au gérant et à tout porteur d'un original ou d'une copie des présentes à l'effet d'accomplir les formalités de publicité, de dépôt et d'immatriculation.</w:t>
      </w:r>
    </w:p>
    <w:p>
      <w:pPr>
        <w:spacing w:before="0" w:after="100"/>
      </w:pPr>
      <w:r>
        <w:rPr>
          <w:i/>
          <w:sz w:val="16"/>
          <w:szCs w:val="16"/>
          <w:color w:val="5A6B7C"/>
        </w:rPr>
        <w:t xml:space="preserve">Article 548 du code de commerce, et loi 04-08 relative aux conditions d'exercice des activités commerciales, dont l'article 35 punit le défaut de publicité légale d'une amende de 30 000 à 300 000 dinars.</w:t>
      </w:r>
    </w:p>
    <w:p>
      <w:pPr>
        <w:spacing w:before="180" w:after="100"/>
      </w:pPr>
      <w:r>
        <w:rPr>
          <w:b/>
          <w:sz w:val="22"/>
          <w:szCs w:val="22"/>
          <w:color w:val="1E4E79"/>
        </w:rPr>
        <w:t xml:space="preserve">Article 30. Frais (clause d'usage)</w:t>
      </w:r>
    </w:p>
    <w:p>
      <w:pPr>
        <w:spacing w:before="0" w:after="120"/>
      </w:pPr>
      <w:r>
        <w:t xml:space="preserve">Les frais, droits et honoraires des présents statuts et de leurs suites sont à la charge de la société, portés au compte des frais de premier établissement et amortis avant toute distribution de bénéfices.</w:t>
      </w:r>
    </w:p>
    <w:p>
      <w:pPr>
        <w:spacing w:before="0" w:after="120"/>
      </w:pPr>
      <w:r>
        <w:t xml:space="preserve">Fait à ............................</w:t>
      </w:r>
    </w:p>
    <w:p>
      <w:pPr>
        <w:spacing w:before="0" w:after="120"/>
      </w:pPr>
      <w:r>
        <w:t xml:space="preserve">Le ............................</w:t>
      </w:r>
    </w:p>
    <w:p>
      <w:pPr>
        <w:spacing w:before="0" w:after="120"/>
      </w:pPr>
      <w:r>
        <w:t xml:space="preserve">En </w:t>
      </w:r>
      <w:r>
        <w:rPr>
          <w:b/>
          <w:highlight w:val="yellow"/>
        </w:rPr>
        <w:t xml:space="preserve">[NOMBRE D EXEMPLAIRES]</w:t>
      </w:r>
      <w:r>
        <w:t xml:space="preserve"> exemplaires originaux.</w:t>
      </w:r>
    </w:p>
    <w:p>
      <w:pPr>
        <w:jc w:val="center"/>
        <w:spacing w:before="320" w:after="480"/>
      </w:pPr>
      <w:r>
        <w:rPr>
          <w:b/>
        </w:rPr>
        <w:t xml:space="preserve">Le premier associé</w:t>
      </w:r>
      <w:r>
        <w:t xml:space="preserve">      </w:t>
      </w:r>
      <w:r>
        <w:rPr>
          <w:b/>
        </w:rPr>
        <w:t xml:space="preserve">Le deuxième associé</w:t>
      </w:r>
    </w:p>
    <w:p>
      <w:r>
        <w:br w:type="page"/>
      </w:r>
    </w:p>
    <w:p>
      <w:pPr>
        <w:spacing w:before="260" w:after="120"/>
      </w:pPr>
      <w:r>
        <w:rPr>
          <w:b/>
          <w:sz w:val="26"/>
          <w:szCs w:val="26"/>
          <w:color w:val="1E4E79"/>
        </w:rPr>
        <w:t xml:space="preserve">Avant de signer, vérifiez ces six points</w:t>
      </w:r>
    </w:p>
    <w:p>
      <w:pPr>
        <w:numPr>
          <w:ilvl w:val="0"/>
          <w:numId w:val="2"/>
        </w:numPr>
        <w:spacing w:before="0" w:after="60"/>
      </w:pPr>
      <w:r>
        <w:t xml:space="preserve">Le passage chez le notaire. L'acte authentique est exigé à peine de nullité par l'article 545 du code de commerce et par l'article 418 du code civil. Toute modification ultérieure des statuts devra elle aussi être notariée.</w:t>
      </w:r>
    </w:p>
    <w:p>
      <w:pPr>
        <w:numPr>
          <w:ilvl w:val="0"/>
          <w:numId w:val="2"/>
        </w:numPr>
        <w:spacing w:before="0" w:after="60"/>
      </w:pPr>
      <w:r>
        <w:t xml:space="preserve">Le capital. Il est fixé librement depuis la loi 15-20 du 30 décembre 2015. Si un document vous oppose un minimum de 100 000 dinars, il se fonde sur la version du code antérieure à cette loi.</w:t>
      </w:r>
    </w:p>
    <w:p>
      <w:pPr>
        <w:numPr>
          <w:ilvl w:val="0"/>
          <w:numId w:val="2"/>
        </w:numPr>
        <w:spacing w:before="0" w:after="60"/>
      </w:pPr>
      <w:r>
        <w:t xml:space="preserve">Les apports en nature. Le commissaire aux apports désigné par le tribunal est requis sans seuil, contrairement au droit français.</w:t>
      </w:r>
    </w:p>
    <w:p>
      <w:pPr>
        <w:numPr>
          <w:ilvl w:val="0"/>
          <w:numId w:val="2"/>
        </w:numPr>
        <w:spacing w:before="0" w:after="60"/>
      </w:pPr>
      <w:r>
        <w:t xml:space="preserve">La dénomination. Elle doit être recopiée exactement comme sur le certificat négatif délivré par le CNRC, accents et espaces compris.</w:t>
      </w:r>
    </w:p>
    <w:p>
      <w:pPr>
        <w:numPr>
          <w:ilvl w:val="0"/>
          <w:numId w:val="2"/>
        </w:numPr>
        <w:spacing w:before="0" w:after="60"/>
      </w:pPr>
      <w:r>
        <w:t xml:space="preserve">Les codes d'activité. L'objet social doit correspondre aux codes demandés au registre du commerce.</w:t>
      </w:r>
    </w:p>
    <w:p>
      <w:pPr>
        <w:numPr>
          <w:ilvl w:val="0"/>
          <w:numId w:val="2"/>
        </w:numPr>
        <w:spacing w:before="0" w:after="60"/>
      </w:pPr>
      <w:r>
        <w:t xml:space="preserve">Le BOAL. L'avis d'insertion des statuts au Bulletin Officiel des Annonces Légales fait partie des pièces du dossier d'immatriculation, il vient donc avant le registre du commerce et non après.</w:t>
      </w:r>
    </w:p>
    <w:p>
      <w:pPr>
        <w:spacing w:before="260" w:after="120"/>
      </w:pPr>
      <w:r>
        <w:rPr>
          <w:b/>
          <w:sz w:val="26"/>
          <w:szCs w:val="26"/>
          <w:color w:val="1E4E79"/>
        </w:rPr>
        <w:t xml:space="preserve">Faire préparer votre dossier</w:t>
      </w:r>
    </w:p>
    <w:p>
      <w:pPr>
        <w:spacing w:before="0" w:after="120"/>
      </w:pPr>
      <w:r>
        <w:t xml:space="preserve">UpGrowth Connect coordonne le parcours complet : validation des codes d'activité, réservation de la dénomination, rendez-vous notarié, publication au BOAL, dépôt CNRC, NIF et affiliation sociale. Appel de diagnostic gratuit de 30 minutes, devis ferme sous 24 h.</w:t>
      </w:r>
    </w:p>
    <w:p>
      <w:pPr>
        <w:spacing w:before="0" w:after="120"/>
      </w:pPr>
      <w:r>
        <w:t xml:space="preserve">contact@upgrowth.dz, WhatsApp +213 550 340 179,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Modèle de statuts de SARL en Algérie</dc:title>
  <dc:subject>Statuts type d'une société à responsabilité limitée de droit algérien, avec les mentions obligatoires de l'article 546 du code de commerce et les références légales article par article.</dc:subject>
  <dc:creator>UpGrowth (upgrowth.dz)</dc:creator>
  <cp:keywords>statuts SARL, Algérie, code de commerce, article 546, loi 15-20, notaire, CNRC</cp:keywords>
  <cp:lastModifiedBy>UpGrowth</cp:lastModifiedBy>
  <dcterms:created xsi:type="dcterms:W3CDTF">2026-07-30T00:00:00Z</dcterms:created>
  <dcterms:modified xsi:type="dcterms:W3CDTF">2026-07-30T00:00:00Z</dcterms:modified>
  <dc:language>fr-DZ</dc:language>
</cp:coreProperties>
</file>