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http://schemas.openxmlformats.org/wordprocessingml/2006/main" xmlns:r="http://schemas.openxmlformats.org/officeDocument/2006/relationships">
  <w:body>
    <w:p>
      <w:pPr>
        <w:jc w:val="center"/>
        <w:spacing w:before="0" w:after="160"/>
      </w:pPr>
      <w:r>
        <w:rPr>
          <w:b/>
          <w:sz w:val="36"/>
          <w:szCs w:val="36"/>
          <w:color w:val="0B2E4F"/>
        </w:rPr>
        <w:t xml:space="preserve">RÈGLEMENT INTÉRIEUR</w:t>
      </w:r>
    </w:p>
    <w:p>
      <w:pPr>
        <w:jc w:val="center"/>
        <w:spacing w:before="0" w:after="240"/>
      </w:pPr>
      <w:r>
        <w:rPr>
          <w:i/>
          <w:sz w:val="22"/>
          <w:szCs w:val="22"/>
          <w:color w:val="44607A"/>
        </w:rPr>
        <w:t xml:space="preserve">Modèle informatif, droit algérien, loi n° 90-11 du 21 avril 1990 relative aux relations de travail, articles 75 à 79</w:t>
      </w:r>
    </w:p>
    <w:p>
      <w:pPr>
        <w:spacing w:before="160" w:after="160"/>
        <w:pBdr>
          <w:top w:val="single" w:sz="6" w:space="6" w:color="1E4E79"/>
          <w:left w:val="single" w:sz="6" w:space="6" w:color="1E4E79"/>
          <w:bottom w:val="single" w:sz="6" w:space="6" w:color="1E4E79"/>
          <w:right w:val="single" w:sz="6" w:space="6" w:color="1E4E79"/>
        </w:pBdr>
        <w:shd w:val="clear" w:color="auto" w:fill="EAF1F8"/>
      </w:pPr>
      <w:r>
        <w:rPr>
          <w:b/>
          <w:color w:val="0B2E4F"/>
        </w:rPr>
        <w:t xml:space="preserve">AVANT DE DIFFUSER CE DOCUMENT. L'article 75 de la loi 90-11 impose de le soumettre pour avis aux organes de participation ou, à défaut, aux représentants des travailleurs AVANT sa mise en œuvre. L'article 79 impose ensuite son dépôt auprès de l'inspection du travail territorialement compétente, pour approbation de conformité, dans un délai de huit (8) jours. Un règlement intérieur rempli mais ni soumis ni déposé ne produit pas d'effet.</w:t>
      </w:r>
    </w:p>
    <w:p>
      <w:pPr>
        <w:spacing w:before="260" w:after="120"/>
      </w:pPr>
      <w:r>
        <w:rPr>
          <w:b/>
          <w:sz w:val="26"/>
          <w:szCs w:val="26"/>
          <w:color w:val="1E4E79"/>
        </w:rPr>
        <w:t xml:space="preserve">À qui ce document s'adresse</w:t>
      </w:r>
    </w:p>
    <w:p>
      <w:pPr>
        <w:spacing w:before="0" w:after="120"/>
      </w:pPr>
      <w:r>
        <w:t xml:space="preserve">L'article 75 de la loi 90-11 oblige l'employeur qui occupe vingt (20) travailleurs et plus à élaborer un règlement intérieur. L'article 76 le rend facultatif en dessous de ce seuil : dans les organismes employeurs occupant moins de vingt (20) travailleurs, l'employeur peut élaborer un règlement intérieur, selon les spécificités des activités, la nature de ces activités étant fixée par voie réglementaire.</w:t>
      </w:r>
    </w:p>
    <w:p>
      <w:pPr>
        <w:spacing w:before="0" w:after="100"/>
      </w:pPr>
      <w:r>
        <w:rPr>
          <w:i/>
          <w:sz w:val="16"/>
          <w:szCs w:val="16"/>
          <w:color w:val="5A6B7C"/>
        </w:rPr>
        <w:t xml:space="preserve">Nous n'avons pas lu le texte réglementaire qui fixe cette liste d'activités et nous ne la reconstituons pas. Si votre effectif est inférieur à vingt travailleurs, c'est ce texte qu'il faut consulter avant de conclure.</w:t>
      </w:r>
    </w:p>
    <w:p>
      <w:pPr>
        <w:spacing w:before="260" w:after="120"/>
      </w:pPr>
      <w:r>
        <w:rPr>
          <w:b/>
          <w:sz w:val="26"/>
          <w:szCs w:val="26"/>
          <w:color w:val="1E4E79"/>
        </w:rPr>
        <w:t xml:space="preserve">Comment remplir</w:t>
      </w:r>
    </w:p>
    <w:p>
      <w:pPr>
        <w:numPr>
          <w:ilvl w:val="0"/>
          <w:numId w:val="1"/>
        </w:numPr>
        <w:spacing w:before="0" w:after="60"/>
      </w:pPr>
      <w:r>
        <w:t xml:space="preserve">Les crochets marquent ce qui vous appartient. Remplacez le contenu du crochet, y compris les crochets eux mêmes.</w:t>
      </w:r>
    </w:p>
    <w:p>
      <w:pPr>
        <w:numPr>
          <w:ilvl w:val="0"/>
          <w:numId w:val="1"/>
        </w:numPr>
        <w:spacing w:before="0" w:after="60"/>
      </w:pPr>
      <w:r>
        <w:t xml:space="preserve">Chaque titre porte, en petits caractères, l'article qui le fonde ou la mention clause d'usage. Ne supprimez pas ces mentions avant la relecture : ce sont elles qui permettent de vérifier ce qui est obligatoire et ce qui ne l'est pas.</w:t>
      </w:r>
    </w:p>
    <w:p>
      <w:pPr>
        <w:numPr>
          <w:ilvl w:val="0"/>
          <w:numId w:val="1"/>
        </w:numPr>
        <w:spacing w:before="0" w:after="60"/>
      </w:pPr>
      <w:r>
        <w:t xml:space="preserve">Confrontez chaque rubrique à la convention collective de votre branche. L'article 78 annule toute clause qui supprimerait ou limiterait un droit résultant des lois, des règlements ou des conventions et accords collectifs en vigueur.</w:t>
      </w:r>
    </w:p>
    <w:p>
      <w:pPr>
        <w:numPr>
          <w:ilvl w:val="0"/>
          <w:numId w:val="1"/>
        </w:numPr>
        <w:spacing w:before="0" w:after="60"/>
      </w:pPr>
      <w:r>
        <w:t xml:space="preserve">La grille disciplinaire est volontairement vide. Elle vous appartient : l'article 77 vous en confie la rédaction.</w:t>
      </w:r>
    </w:p>
    <w:p>
      <w:r>
        <w:br w:type="page"/>
      </w:r>
    </w:p>
    <w:p>
      <w:pPr>
        <w:jc w:val="center"/>
        <w:spacing w:before="0" w:after="160"/>
      </w:pPr>
      <w:r>
        <w:rPr>
          <w:b/>
          <w:sz w:val="36"/>
          <w:szCs w:val="36"/>
          <w:color w:val="0B2E4F"/>
        </w:rPr>
        <w:t xml:space="preserve">RÈGLEMENT INTÉRIEUR DE </w:t>
      </w:r>
      <w:r>
        <w:rPr>
          <w:b/>
          <w:sz w:val="36"/>
          <w:szCs w:val="36"/>
          <w:color w:val="0B2E4F"/>
          <w:highlight w:val="yellow"/>
        </w:rPr>
        <w:t xml:space="preserve">[DÉNOMINATION SOCIALE]</w:t>
      </w:r>
    </w:p>
    <w:p>
      <w:pPr>
        <w:spacing w:before="0" w:after="60"/>
      </w:pPr>
    </w:p>
    <w:p>
      <w:pPr>
        <w:spacing w:before="0" w:after="120"/>
      </w:pPr>
      <w:r>
        <w:rPr>
          <w:b/>
          <w:highlight w:val="yellow"/>
        </w:rPr>
        <w:t xml:space="preserve">[DÉNOMINATION SOCIALE]</w:t>
      </w:r>
    </w:p>
    <w:p>
      <w:pPr>
        <w:spacing w:before="0" w:after="120"/>
      </w:pPr>
      <w:r>
        <w:rPr>
          <w:b/>
          <w:highlight w:val="yellow"/>
        </w:rPr>
        <w:t xml:space="preserve">[FORME JURIDIQUE]</w:t>
      </w:r>
      <w:r>
        <w:t xml:space="preserve">, au capital de </w:t>
      </w:r>
      <w:r>
        <w:rPr>
          <w:b/>
          <w:highlight w:val="yellow"/>
        </w:rPr>
        <w:t xml:space="preserve">[MONTANT DU CAPITAL]</w:t>
      </w:r>
      <w:r>
        <w:t xml:space="preserve"> DA</w:t>
      </w:r>
    </w:p>
    <w:p>
      <w:pPr>
        <w:spacing w:before="0" w:after="120"/>
      </w:pPr>
      <w:r>
        <w:t xml:space="preserve">Siège social : </w:t>
      </w:r>
      <w:r>
        <w:rPr>
          <w:b/>
          <w:highlight w:val="yellow"/>
        </w:rPr>
        <w:t xml:space="preserve">[ADRESSE COMPLÈTE DU SIÈGE]</w:t>
      </w:r>
    </w:p>
    <w:p>
      <w:pPr>
        <w:spacing w:before="0" w:after="120"/>
      </w:pPr>
      <w:r>
        <w:t xml:space="preserve">Registre du commerce n° </w:t>
      </w:r>
      <w:r>
        <w:rPr>
          <w:b/>
          <w:highlight w:val="yellow"/>
        </w:rPr>
        <w:t xml:space="preserve">[NUMÉRO DE REGISTRE DU COMMERCE]</w:t>
      </w:r>
    </w:p>
    <w:p>
      <w:pPr>
        <w:spacing w:before="0" w:after="120"/>
      </w:pPr>
      <w:r>
        <w:t xml:space="preserve">Identifiant fiscal : </w:t>
      </w:r>
      <w:r>
        <w:rPr>
          <w:b/>
          <w:highlight w:val="yellow"/>
        </w:rPr>
        <w:t xml:space="preserve">[NIF]</w:t>
      </w:r>
    </w:p>
    <w:p>
      <w:pPr>
        <w:spacing w:before="0" w:after="120"/>
      </w:pPr>
      <w:r>
        <w:t xml:space="preserve">Effectif occupé à la date d'établissement : </w:t>
      </w:r>
      <w:r>
        <w:rPr>
          <w:b/>
          <w:highlight w:val="yellow"/>
        </w:rPr>
        <w:t xml:space="preserve">[NOMBRE DE TRAVAILLEURS]</w:t>
      </w:r>
      <w:r>
        <w:t xml:space="preserve"> travailleurs</w:t>
      </w:r>
    </w:p>
    <w:p>
      <w:pPr>
        <w:spacing w:before="0" w:after="60"/>
      </w:pPr>
    </w:p>
    <w:p>
      <w:pPr>
        <w:spacing w:before="260" w:after="120"/>
      </w:pPr>
      <w:r>
        <w:rPr>
          <w:b/>
          <w:sz w:val="26"/>
          <w:szCs w:val="26"/>
          <w:color w:val="1E4E79"/>
        </w:rPr>
        <w:t xml:space="preserve">TITRE I. Objet et champ d'application</w:t>
      </w:r>
    </w:p>
    <w:p>
      <w:pPr>
        <w:spacing w:before="180" w:after="100"/>
      </w:pPr>
      <w:r>
        <w:rPr>
          <w:b/>
          <w:sz w:val="22"/>
          <w:szCs w:val="22"/>
          <w:color w:val="1E4E79"/>
        </w:rPr>
        <w:t xml:space="preserve">Article 1. Objet</w:t>
      </w:r>
    </w:p>
    <w:p>
      <w:pPr>
        <w:spacing w:before="0" w:after="120"/>
      </w:pPr>
      <w:r>
        <w:t xml:space="preserve">Le présent règlement intérieur fixe les règles relatives à l'organisation technique du travail, à l'hygiène, à la sécurité et à la discipline au sein de </w:t>
      </w:r>
      <w:r>
        <w:rPr>
          <w:b/>
          <w:highlight w:val="yellow"/>
        </w:rPr>
        <w:t xml:space="preserve">[DÉNOMINATION SOCIALE]</w:t>
      </w:r>
      <w:r>
        <w:t xml:space="preserve">.</w:t>
      </w:r>
    </w:p>
    <w:p>
      <w:pPr>
        <w:spacing w:before="0" w:after="100"/>
      </w:pPr>
      <w:r>
        <w:rPr>
          <w:i/>
          <w:sz w:val="16"/>
          <w:szCs w:val="16"/>
          <w:color w:val="5A6B7C"/>
        </w:rPr>
        <w:t xml:space="preserve">Article 77 de la loi 90-11. Ces quatre matières sont le contenu minimum du règlement intérieur. Un règlement qui n'en traite que trois est incomplet au regard de l'article.</w:t>
      </w:r>
    </w:p>
    <w:p>
      <w:pPr>
        <w:spacing w:before="180" w:after="100"/>
      </w:pPr>
      <w:r>
        <w:rPr>
          <w:b/>
          <w:sz w:val="22"/>
          <w:szCs w:val="22"/>
          <w:color w:val="1E4E79"/>
        </w:rPr>
        <w:t xml:space="preserve">Article 2. Champ d'application</w:t>
      </w:r>
    </w:p>
    <w:p>
      <w:pPr>
        <w:spacing w:before="0" w:after="120"/>
      </w:pPr>
      <w:r>
        <w:t xml:space="preserve">Il s'applique à l'ensemble des travailleurs de l'organisme employeur, quels que soient leur poste, leur classification et la nature de leur contrat de travail, ainsi que dans tous les lieux de travail de l'entreprise.</w:t>
      </w:r>
    </w:p>
    <w:p>
      <w:pPr>
        <w:spacing w:before="0" w:after="100"/>
      </w:pPr>
      <w:r>
        <w:rPr>
          <w:i/>
          <w:sz w:val="16"/>
          <w:szCs w:val="16"/>
          <w:color w:val="5A6B7C"/>
        </w:rPr>
        <w:t xml:space="preserve">Clause d'usage. Aucun des textes lus ne délimite le champ d'application du règlement intérieur ; la clause le fait donc expressément pour éviter toute discussion.</w:t>
      </w:r>
    </w:p>
    <w:p>
      <w:pPr>
        <w:spacing w:before="180" w:after="100"/>
      </w:pPr>
      <w:r>
        <w:rPr>
          <w:b/>
          <w:sz w:val="22"/>
          <w:szCs w:val="22"/>
          <w:color w:val="1E4E79"/>
        </w:rPr>
        <w:t xml:space="preserve">Article 3. Articulation avec les textes supérieurs</w:t>
      </w:r>
    </w:p>
    <w:p>
      <w:pPr>
        <w:spacing w:before="0" w:after="120"/>
      </w:pPr>
      <w:r>
        <w:t xml:space="preserve">Le présent règlement intérieur s'applique sous réserve des dispositions légales et réglementaires en vigueur et de la convention collective applicable à l'entreprise. Toute clause du présent règlement qui supprimerait ou limiterait les droits des travailleurs tels qu'ils résultent des lois, des règlements et des conventions ou accords collectifs en vigueur est nulle et de nul effet.</w:t>
      </w:r>
    </w:p>
    <w:p>
      <w:pPr>
        <w:spacing w:before="0" w:after="100"/>
      </w:pPr>
      <w:r>
        <w:rPr>
          <w:i/>
          <w:sz w:val="16"/>
          <w:szCs w:val="16"/>
          <w:color w:val="5A6B7C"/>
        </w:rPr>
        <w:t xml:space="preserve">Article 78 de la loi 90-11, repris à la lettre. Cette clause n'est pas une précaution de style : elle rappelle la limite que le texte fixe lui même.</w:t>
      </w:r>
    </w:p>
    <w:p>
      <w:pPr>
        <w:spacing w:before="260" w:after="120"/>
      </w:pPr>
      <w:r>
        <w:rPr>
          <w:b/>
          <w:sz w:val="26"/>
          <w:szCs w:val="26"/>
          <w:color w:val="1E4E79"/>
        </w:rPr>
        <w:t xml:space="preserve">TITRE II. Organisation technique du travail</w:t>
      </w:r>
    </w:p>
    <w:p>
      <w:pPr>
        <w:spacing w:before="180" w:after="100"/>
      </w:pPr>
      <w:r>
        <w:rPr>
          <w:b/>
          <w:sz w:val="22"/>
          <w:szCs w:val="22"/>
          <w:color w:val="1E4E79"/>
        </w:rPr>
        <w:t xml:space="preserve">Article 4. Durée et répartition du travail</w:t>
      </w:r>
    </w:p>
    <w:p>
      <w:pPr>
        <w:spacing w:before="0" w:after="120"/>
      </w:pPr>
      <w:r>
        <w:t xml:space="preserve">La durée hebdomadaire de travail est fixée à </w:t>
      </w:r>
      <w:r>
        <w:rPr>
          <w:b/>
          <w:highlight w:val="yellow"/>
        </w:rPr>
        <w:t xml:space="preserve">[DURÉE HEBDOMADAIRE RETENUE]</w:t>
      </w:r>
      <w:r>
        <w:t xml:space="preserve"> heures, réparties sur </w:t>
      </w:r>
      <w:r>
        <w:rPr>
          <w:b/>
          <w:highlight w:val="yellow"/>
        </w:rPr>
        <w:t xml:space="preserve">[NOMBRE DE JOURS]</w:t>
      </w:r>
      <w:r>
        <w:t xml:space="preserve"> jours ouvrables, selon l'horaire affiché aux lieux de travail.</w:t>
      </w:r>
    </w:p>
    <w:p>
      <w:pPr>
        <w:spacing w:before="0" w:after="100"/>
      </w:pPr>
      <w:r>
        <w:rPr>
          <w:i/>
          <w:sz w:val="16"/>
          <w:szCs w:val="16"/>
          <w:color w:val="5A6B7C"/>
        </w:rPr>
        <w:t xml:space="preserve">Article 2 de l'ordonnance 97-03 du 11 janvier 1997 fixant la durée légale du travail : quarante heures par semaine dans les conditions normales de travail, réparties au minimum sur cinq jours ouvrables. N'écrivez pas quarante-quatre heures : l'article 22 de la loi 90-11 qui portait ce chiffre a été abrogé par l'article 8 de la même ordonnance.</w:t>
      </w:r>
    </w:p>
    <w:p>
      <w:pPr>
        <w:spacing w:before="180" w:after="100"/>
      </w:pPr>
      <w:r>
        <w:rPr>
          <w:b/>
          <w:sz w:val="22"/>
          <w:szCs w:val="22"/>
          <w:color w:val="1E4E79"/>
        </w:rPr>
        <w:t xml:space="preserve">Article 5. Amplitude journalière et pause</w:t>
      </w:r>
    </w:p>
    <w:p>
      <w:pPr>
        <w:spacing w:before="0" w:after="120"/>
      </w:pPr>
      <w:r>
        <w:t xml:space="preserve">L'amplitude journalière de travail effectif ne peut en aucun cas dépasser douze (12) heures. Sous le régime de la séance continue, l'employeur aménage un temps de pause qui ne peut excéder une heure, dont une demi heure est comptée comme temps de travail effectif.</w:t>
      </w:r>
    </w:p>
    <w:p>
      <w:pPr>
        <w:spacing w:before="0" w:after="100"/>
      </w:pPr>
      <w:r>
        <w:rPr>
          <w:i/>
          <w:sz w:val="16"/>
          <w:szCs w:val="16"/>
          <w:color w:val="5A6B7C"/>
        </w:rPr>
        <w:t xml:space="preserve">Articles 7 et 6 de l'ordonnance 97-03.</w:t>
      </w:r>
    </w:p>
    <w:p>
      <w:pPr>
        <w:spacing w:before="180" w:after="100"/>
      </w:pPr>
      <w:r>
        <w:rPr>
          <w:b/>
          <w:sz w:val="22"/>
          <w:szCs w:val="22"/>
          <w:color w:val="1E4E79"/>
        </w:rPr>
        <w:t xml:space="preserve">Article 6. Accès, présence et enregistrement du temps</w:t>
      </w:r>
    </w:p>
    <w:p>
      <w:pPr>
        <w:spacing w:before="0" w:after="120"/>
      </w:pPr>
      <w:r>
        <w:t xml:space="preserve">Les modalités d'accès aux lieux de travail, d'enregistrement des heures d'arrivée et de départ et de justification des absences sont les suivantes : </w:t>
      </w:r>
      <w:r>
        <w:rPr>
          <w:b/>
          <w:highlight w:val="yellow"/>
        </w:rPr>
        <w:t xml:space="preserve">[DÉCRIRE LES MODALITÉS RETENUES]</w:t>
      </w:r>
      <w:r>
        <w:t xml:space="preserve">.</w:t>
      </w:r>
    </w:p>
    <w:p>
      <w:pPr>
        <w:spacing w:before="0" w:after="100"/>
      </w:pPr>
      <w:r>
        <w:rPr>
          <w:i/>
          <w:sz w:val="16"/>
          <w:szCs w:val="16"/>
          <w:color w:val="5A6B7C"/>
        </w:rPr>
        <w:t xml:space="preserve">Clause d'usage rattachée à l'organisation technique du travail de l'article 77. Aucun texte lu n'impose un mode d'enregistrement particulier.</w:t>
      </w:r>
    </w:p>
    <w:p>
      <w:pPr>
        <w:spacing w:before="180" w:after="100"/>
      </w:pPr>
      <w:r>
        <w:rPr>
          <w:b/>
          <w:sz w:val="22"/>
          <w:szCs w:val="22"/>
          <w:color w:val="1E4E79"/>
        </w:rPr>
        <w:t xml:space="preserve">Article 7. Absences et autorisations</w:t>
      </w:r>
    </w:p>
    <w:p>
      <w:pPr>
        <w:spacing w:before="0" w:after="120"/>
      </w:pPr>
      <w:r>
        <w:t xml:space="preserve">Toute absence doit être portée à la connaissance de l'employeur dans les conditions suivantes : </w:t>
      </w:r>
      <w:r>
        <w:rPr>
          <w:b/>
          <w:highlight w:val="yellow"/>
        </w:rPr>
        <w:t xml:space="preserve">[DÉCRIRE LA PROCÉDURE D'INFORMATION ET LES JUSTIFICATIFS ATTENDUS]</w:t>
      </w:r>
      <w:r>
        <w:t xml:space="preserve">. Les absences autorisées par la loi et par la convention collective demeurent régies par celles ci.</w:t>
      </w:r>
    </w:p>
    <w:p>
      <w:pPr>
        <w:spacing w:before="0" w:after="100"/>
      </w:pPr>
      <w:r>
        <w:rPr>
          <w:i/>
          <w:sz w:val="16"/>
          <w:szCs w:val="16"/>
          <w:color w:val="5A6B7C"/>
        </w:rPr>
        <w:t xml:space="preserve">Clause d'usage. Rappel : l'article 54 de la loi 90-11, tel que modifié par l'ordonnance 96-21, accorde trois jours ouvrables rémunérés par événement familial, et l'article 78 interdit d'y déroger dans un sens défavorable.</w:t>
      </w:r>
    </w:p>
    <w:p>
      <w:pPr>
        <w:spacing w:before="260" w:after="120"/>
      </w:pPr>
      <w:r>
        <w:rPr>
          <w:b/>
          <w:sz w:val="26"/>
          <w:szCs w:val="26"/>
          <w:color w:val="1E4E79"/>
        </w:rPr>
        <w:t xml:space="preserve">TITRE III. Hygiène et sécurité</w:t>
      </w:r>
    </w:p>
    <w:p>
      <w:pPr>
        <w:spacing w:before="180" w:after="100"/>
      </w:pPr>
      <w:r>
        <w:rPr>
          <w:b/>
          <w:sz w:val="22"/>
          <w:szCs w:val="22"/>
          <w:color w:val="1E4E79"/>
        </w:rPr>
        <w:t xml:space="preserve">Article 8. Règles d'hygiène</w:t>
      </w:r>
    </w:p>
    <w:p>
      <w:pPr>
        <w:spacing w:before="0" w:after="120"/>
      </w:pPr>
      <w:r>
        <w:rPr>
          <w:b/>
          <w:highlight w:val="yellow"/>
        </w:rPr>
        <w:t xml:space="preserve">[ÉCRIRE LES RÈGLES D'HYGIÈNE PROPRES À L'ACTIVITÉ ET AUX LOCAUX]</w:t>
      </w:r>
      <w:r>
        <w:t xml:space="preserve">.</w:t>
      </w:r>
    </w:p>
    <w:p>
      <w:pPr>
        <w:spacing w:before="180" w:after="100"/>
      </w:pPr>
      <w:r>
        <w:rPr>
          <w:b/>
          <w:sz w:val="22"/>
          <w:szCs w:val="22"/>
          <w:color w:val="1E4E79"/>
        </w:rPr>
        <w:t xml:space="preserve">Article 9. Règles de sécurité et équipements de protection</w:t>
      </w:r>
    </w:p>
    <w:p>
      <w:pPr>
        <w:spacing w:before="0" w:after="120"/>
      </w:pPr>
      <w:r>
        <w:rPr>
          <w:b/>
          <w:highlight w:val="yellow"/>
        </w:rPr>
        <w:t xml:space="preserve">[ÉCRIRE LES RÈGLES DE SÉCURITÉ, LES ÉQUIPEMENTS DE PROTECTION FOURNIS ET LES CONDITIONS DE LEUR PORT OBLIGATOIRE]</w:t>
      </w:r>
      <w:r>
        <w:t xml:space="preserve">.</w:t>
      </w:r>
    </w:p>
    <w:p>
      <w:pPr>
        <w:spacing w:before="180" w:after="100"/>
      </w:pPr>
      <w:r>
        <w:rPr>
          <w:b/>
          <w:sz w:val="22"/>
          <w:szCs w:val="22"/>
          <w:color w:val="1E4E79"/>
        </w:rPr>
        <w:t xml:space="preserve">Article 10. Conduite en cas d'accident ou d'incident</w:t>
      </w:r>
    </w:p>
    <w:p>
      <w:pPr>
        <w:spacing w:before="0" w:after="120"/>
      </w:pPr>
      <w:r>
        <w:rPr>
          <w:b/>
          <w:highlight w:val="yellow"/>
        </w:rPr>
        <w:t xml:space="preserve">[ÉCRIRE LA CONDUITE À TENIR, LES PERSONNES À ALERTER ET LES MOYENS DE SECOURS DISPONIBLES]</w:t>
      </w:r>
      <w:r>
        <w:t xml:space="preserve">.</w:t>
      </w:r>
    </w:p>
    <w:p>
      <w:pPr>
        <w:spacing w:before="0" w:after="100"/>
      </w:pPr>
      <w:r>
        <w:rPr>
          <w:i/>
          <w:sz w:val="16"/>
          <w:szCs w:val="16"/>
          <w:color w:val="5A6B7C"/>
        </w:rPr>
        <w:t xml:space="preserve">L'article 77 range l'hygiène et la sécurité parmi les quatre matières obligatoires, mais il n'en écrit pas le contenu. Les obligations concrètes viennent de la législation propre à l'hygiène, à la sécurité et à la médecine du travail, que nous n'avons pas lue pour ce modèle et que nous ne résumons donc pas. Ces trois articles sont à rédiger avec ces textes sous les yeux.</w:t>
      </w:r>
    </w:p>
    <w:p>
      <w:r>
        <w:br w:type="page"/>
      </w:r>
    </w:p>
    <w:p>
      <w:pPr>
        <w:spacing w:before="260" w:after="120"/>
      </w:pPr>
      <w:r>
        <w:rPr>
          <w:b/>
          <w:sz w:val="26"/>
          <w:szCs w:val="26"/>
          <w:color w:val="1E4E79"/>
        </w:rPr>
        <w:t xml:space="preserve">TITRE IV. Discipline</w:t>
      </w:r>
    </w:p>
    <w:p>
      <w:pPr>
        <w:spacing w:before="180" w:after="100"/>
      </w:pPr>
      <w:r>
        <w:rPr>
          <w:b/>
          <w:sz w:val="22"/>
          <w:szCs w:val="22"/>
          <w:color w:val="1E4E79"/>
        </w:rPr>
        <w:t xml:space="preserve">Article 11. Qualification des fautes professionnelles</w:t>
      </w:r>
    </w:p>
    <w:p>
      <w:pPr>
        <w:spacing w:before="0" w:after="120"/>
      </w:pPr>
      <w:r>
        <w:t xml:space="preserve">Les manquements aux obligations professionnelles constituent des fautes professionnelles. Elles sont qualifiées selon les degrés suivants : </w:t>
      </w:r>
      <w:r>
        <w:rPr>
          <w:b/>
          <w:highlight w:val="yellow"/>
        </w:rPr>
        <w:t xml:space="preserve">[ÉCRIRE LES DEGRÉS DE FAUTE RETENUS ET LES COMPORTEMENTS CORRESPONDANTS]</w:t>
      </w:r>
      <w:r>
        <w:t xml:space="preserve">.</w:t>
      </w:r>
    </w:p>
    <w:p>
      <w:pPr>
        <w:spacing w:before="0" w:after="100"/>
      </w:pPr>
      <w:r>
        <w:rPr>
          <w:i/>
          <w:sz w:val="16"/>
          <w:szCs w:val="16"/>
          <w:color w:val="5A6B7C"/>
        </w:rPr>
        <w:t xml:space="preserve">Article 77, alinéa 2 : dans le domaine disciplinaire, le règlement intérieur fixe la qualification des fautes professionnelles. Ce classement vous appartient, aucun texte lu n'en impose un.</w:t>
      </w:r>
    </w:p>
    <w:p>
      <w:pPr>
        <w:spacing w:before="180" w:after="100"/>
      </w:pPr>
      <w:r>
        <w:rPr>
          <w:b/>
          <w:sz w:val="22"/>
          <w:szCs w:val="22"/>
          <w:color w:val="1E4E79"/>
        </w:rPr>
        <w:t xml:space="preserve">Article 12. Degrés des sanctions</w:t>
      </w:r>
    </w:p>
    <w:p>
      <w:pPr>
        <w:spacing w:before="0" w:after="120"/>
      </w:pPr>
      <w:r>
        <w:t xml:space="preserve">Aux degrés de faute ci dessus correspondent les sanctions suivantes : </w:t>
      </w:r>
      <w:r>
        <w:rPr>
          <w:b/>
          <w:highlight w:val="yellow"/>
        </w:rPr>
        <w:t xml:space="preserve">[ÉCRIRE L'ÉCHELLE DES SANCTIONS RETENUE, DU DEGRÉ LE PLUS LÉGER AU PLUS LOURD]</w:t>
      </w:r>
      <w:r>
        <w:t xml:space="preserve">.</w:t>
      </w:r>
    </w:p>
    <w:p>
      <w:pPr>
        <w:spacing w:before="0" w:after="100"/>
      </w:pPr>
      <w:r>
        <w:rPr>
          <w:i/>
          <w:sz w:val="16"/>
          <w:szCs w:val="16"/>
          <w:color w:val="5A6B7C"/>
        </w:rPr>
        <w:t xml:space="preserve">Article 77, alinéa 2 : le règlement intérieur fixe les degrés des sanctions correspondantes. Nous n'écrivons volontairement aucune échelle à votre place. Vérifiez chaque degré au regard de l'article 78 et de votre convention collective.</w:t>
      </w:r>
    </w:p>
    <w:p>
      <w:pPr>
        <w:spacing w:before="180" w:after="100"/>
      </w:pPr>
      <w:r>
        <w:rPr>
          <w:b/>
          <w:sz w:val="22"/>
          <w:szCs w:val="22"/>
          <w:color w:val="1E4E79"/>
        </w:rPr>
        <w:t xml:space="preserve">Article 13. Fautes graves</w:t>
      </w:r>
    </w:p>
    <w:p>
      <w:pPr>
        <w:spacing w:before="0" w:after="120"/>
      </w:pPr>
      <w:r>
        <w:t xml:space="preserve">Outre les fautes graves sanctionnées par la législation pénale, commises à l'occasion du travail, sont notamment considérées comme fautes graves et susceptibles d'entraîner le licenciement sans délai congé ni indemnités les actes par lesquels le travailleur :</w:t>
      </w:r>
    </w:p>
    <w:p>
      <w:pPr>
        <w:numPr>
          <w:ilvl w:val="0"/>
          <w:numId w:val="1"/>
        </w:numPr>
        <w:spacing w:before="0" w:after="60"/>
      </w:pPr>
      <w:r>
        <w:t xml:space="preserve">refuse sans motif valable d'exécuter les instructions liées à ses obligations professionnelles ou celles dont l'inexécution pourrait porter préjudice à l'entreprise et qui émaneraient de la hiérarchie désignée par l'employeur dans l'exercice normal de ses pouvoirs ;</w:t>
      </w:r>
    </w:p>
    <w:p>
      <w:pPr>
        <w:numPr>
          <w:ilvl w:val="0"/>
          <w:numId w:val="1"/>
        </w:numPr>
        <w:spacing w:before="0" w:after="60"/>
      </w:pPr>
      <w:r>
        <w:t xml:space="preserve">divulgue des informations d'ordre professionnel relatives aux techniques, technologie, processus de fabrication, mode d'organisation ou des documents internes à l'organisme employeur, sauf si l'autorité hiérarchique l'autorise ou si la loi le permet ;</w:t>
      </w:r>
    </w:p>
    <w:p>
      <w:pPr>
        <w:numPr>
          <w:ilvl w:val="0"/>
          <w:numId w:val="1"/>
        </w:numPr>
        <w:spacing w:before="0" w:after="60"/>
      </w:pPr>
      <w:r>
        <w:t xml:space="preserve">participe à un arrêt collectif et concerté de travail en violation des dispositions législatives en vigueur en la matière ;</w:t>
      </w:r>
    </w:p>
    <w:p>
      <w:pPr>
        <w:numPr>
          <w:ilvl w:val="0"/>
          <w:numId w:val="1"/>
        </w:numPr>
        <w:spacing w:before="0" w:after="60"/>
      </w:pPr>
      <w:r>
        <w:t xml:space="preserve">commet des actes de violence ;</w:t>
      </w:r>
    </w:p>
    <w:p>
      <w:pPr>
        <w:numPr>
          <w:ilvl w:val="0"/>
          <w:numId w:val="1"/>
        </w:numPr>
        <w:spacing w:before="0" w:after="60"/>
      </w:pPr>
      <w:r>
        <w:t xml:space="preserve">cause intentionnellement des dégâts matériels aux édifices, ouvrages, machines, instruments, matières premières et autres objets en rapport avec le travail ;</w:t>
      </w:r>
    </w:p>
    <w:p>
      <w:pPr>
        <w:numPr>
          <w:ilvl w:val="0"/>
          <w:numId w:val="1"/>
        </w:numPr>
        <w:spacing w:before="0" w:after="60"/>
      </w:pPr>
      <w:r>
        <w:t xml:space="preserve">refuse d'exécuter un ordre de réquisition notifié conformément aux dispositions de la législation en vigueur ;</w:t>
      </w:r>
    </w:p>
    <w:p>
      <w:pPr>
        <w:numPr>
          <w:ilvl w:val="0"/>
          <w:numId w:val="1"/>
        </w:numPr>
        <w:spacing w:before="0" w:after="60"/>
      </w:pPr>
      <w:r>
        <w:t xml:space="preserve">consomme de l'alcool ou de la drogue à l'intérieur des lieux de travail.</w:t>
      </w:r>
    </w:p>
    <w:p>
      <w:pPr>
        <w:spacing w:before="0" w:after="100"/>
      </w:pPr>
      <w:r>
        <w:rPr>
          <w:i/>
          <w:sz w:val="16"/>
          <w:szCs w:val="16"/>
          <w:color w:val="5A6B7C"/>
        </w:rPr>
        <w:t xml:space="preserve">Article 73 de la loi 90-11 dans la rédaction que lui donne la loi 91-29 du 21 décembre 1991. Le mot notamment est dans le texte : cette liste n'est pas fermée. Vous pouvez la reprendre telle quelle, vous ne pouvez pas en retrancher un élément en prétendant citer l'article.</w:t>
      </w:r>
    </w:p>
    <w:p>
      <w:pPr>
        <w:spacing w:before="180" w:after="100"/>
      </w:pPr>
      <w:r>
        <w:rPr>
          <w:b/>
          <w:sz w:val="22"/>
          <w:szCs w:val="22"/>
          <w:color w:val="1E4E79"/>
        </w:rPr>
        <w:t xml:space="preserve">Article 14. Appréciation de la faute grave</w:t>
      </w:r>
    </w:p>
    <w:p>
      <w:pPr>
        <w:spacing w:before="0" w:after="120"/>
      </w:pPr>
      <w:r>
        <w:t xml:space="preserve">Dans la détermination et la qualification de la faute grave commise par le travailleur, l'employeur tient compte notamment des circonstances dans lesquelles la faute s'est produite, de son étendue et de son degré de gravité, du préjudice causé, ainsi que de la conduite que le travailleur adoptait, jusqu'à la date de sa faute, envers le patrimoine de son organisme employeur.</w:t>
      </w:r>
    </w:p>
    <w:p>
      <w:pPr>
        <w:spacing w:before="0" w:after="100"/>
      </w:pPr>
      <w:r>
        <w:rPr>
          <w:i/>
          <w:sz w:val="16"/>
          <w:szCs w:val="16"/>
          <w:color w:val="5A6B7C"/>
        </w:rPr>
        <w:t xml:space="preserve">Article 73-1 de la loi 90-11, inséré par la loi 91-29.</w:t>
      </w:r>
    </w:p>
    <w:p>
      <w:pPr>
        <w:spacing w:before="180" w:after="100"/>
      </w:pPr>
      <w:r>
        <w:rPr>
          <w:b/>
          <w:sz w:val="22"/>
          <w:szCs w:val="22"/>
          <w:color w:val="1E4E79"/>
        </w:rPr>
        <w:t xml:space="preserve">Article 15. Procédure disciplinaire</w:t>
      </w:r>
    </w:p>
    <w:p>
      <w:pPr>
        <w:spacing w:before="0" w:after="120"/>
      </w:pPr>
      <w:r>
        <w:t xml:space="preserve">Le licenciement à caractère disciplinaire est prononcé dans le respect de la procédure suivante :</w:t>
      </w:r>
    </w:p>
    <w:p>
      <w:pPr>
        <w:numPr>
          <w:ilvl w:val="0"/>
          <w:numId w:val="2"/>
        </w:numPr>
        <w:spacing w:before="0" w:after="60"/>
      </w:pPr>
      <w:r>
        <w:t xml:space="preserve">Convocation écrite du travailleur concerné à une audition, remise contre décharge ou adressée par tout moyen laissant trace, précisant l'objet de la convocation et la date de l'audition.</w:t>
      </w:r>
    </w:p>
    <w:p>
      <w:pPr>
        <w:numPr>
          <w:ilvl w:val="0"/>
          <w:numId w:val="2"/>
        </w:numPr>
        <w:spacing w:before="0" w:after="60"/>
      </w:pPr>
      <w:r>
        <w:t xml:space="preserve">Audition du travailleur par l'employeur. Le travailleur peut, à cette occasion, se faire assister d'un travailleur de son choix appartenant à l'organisme employeur.</w:t>
      </w:r>
    </w:p>
    <w:p>
      <w:pPr>
        <w:numPr>
          <w:ilvl w:val="0"/>
          <w:numId w:val="2"/>
        </w:numPr>
        <w:spacing w:before="0" w:after="60"/>
      </w:pPr>
      <w:r>
        <w:t xml:space="preserve">Notification écrite de la décision de licenciement au travailleur concerné.</w:t>
      </w:r>
    </w:p>
    <w:p>
      <w:pPr>
        <w:spacing w:before="0" w:after="120"/>
      </w:pPr>
      <w:r>
        <w:t xml:space="preserve">Les autres sanctions sont prononcées selon les modalités suivantes : </w:t>
      </w:r>
      <w:r>
        <w:rPr>
          <w:b/>
          <w:highlight w:val="yellow"/>
        </w:rPr>
        <w:t xml:space="preserve">[ÉCRIRE LA PROCÉDURE APPLICABLE AUX SANCTIONS AUTRES QUE LE LICENCIEMENT]</w:t>
      </w:r>
      <w:r>
        <w:t xml:space="preserve">.</w:t>
      </w:r>
    </w:p>
    <w:p>
      <w:pPr>
        <w:spacing w:before="0" w:after="100"/>
      </w:pPr>
      <w:r>
        <w:rPr>
          <w:i/>
          <w:sz w:val="16"/>
          <w:szCs w:val="16"/>
          <w:color w:val="5A6B7C"/>
        </w:rPr>
        <w:t xml:space="preserve">Article 73-2 de la loi 90-11, inséré par la loi 91-29. Les points 2 et 3 ne sont pas facultatifs : le texte écrit que les procédures fixées par le règlement intérieur prévoient obligatoirement la notification écrite de la décision de licenciement et l'audition par l'employeur du travailleur concerné, qui peut se faire assister d'un travailleur de son choix appartenant à l'organisme employeur. Rappel de l'article 73-3 : tout licenciement individuel intervenu en violation des dispositions de la loi est présumé abusif, à charge pour l'employeur d'apporter la preuve du contraire.</w:t>
      </w:r>
    </w:p>
    <w:p>
      <w:r>
        <w:br w:type="page"/>
      </w:r>
    </w:p>
    <w:p>
      <w:pPr>
        <w:spacing w:before="260" w:after="120"/>
      </w:pPr>
      <w:r>
        <w:rPr>
          <w:b/>
          <w:sz w:val="26"/>
          <w:szCs w:val="26"/>
          <w:color w:val="1E4E79"/>
        </w:rPr>
        <w:t xml:space="preserve">TITRE V. Adoption, dépôt et publicité</w:t>
      </w:r>
    </w:p>
    <w:p>
      <w:pPr>
        <w:spacing w:before="180" w:after="100"/>
      </w:pPr>
      <w:r>
        <w:rPr>
          <w:b/>
          <w:sz w:val="22"/>
          <w:szCs w:val="22"/>
          <w:color w:val="1E4E79"/>
        </w:rPr>
        <w:t xml:space="preserve">Article 16. Avis préalable</w:t>
      </w:r>
    </w:p>
    <w:p>
      <w:pPr>
        <w:spacing w:before="0" w:after="120"/>
      </w:pPr>
      <w:r>
        <w:t xml:space="preserve">Le présent règlement intérieur a été soumis pour avis aux organes de participation, ou à défaut aux représentants des travailleurs, le </w:t>
      </w:r>
      <w:r>
        <w:rPr>
          <w:b/>
          <w:highlight w:val="yellow"/>
        </w:rPr>
        <w:t xml:space="preserve">[DATE DE LA SAISINE POUR AVIS]</w:t>
      </w:r>
      <w:r>
        <w:t xml:space="preserve">. L'avis a été rendu le </w:t>
      </w:r>
      <w:r>
        <w:rPr>
          <w:b/>
          <w:highlight w:val="yellow"/>
        </w:rPr>
        <w:t xml:space="preserve">[DATE DE L'AVIS]</w:t>
      </w:r>
      <w:r>
        <w:t xml:space="preserve">.</w:t>
      </w:r>
    </w:p>
    <w:p>
      <w:pPr>
        <w:spacing w:before="0" w:after="100"/>
      </w:pPr>
      <w:r>
        <w:rPr>
          <w:i/>
          <w:sz w:val="16"/>
          <w:szCs w:val="16"/>
          <w:color w:val="5A6B7C"/>
        </w:rPr>
        <w:t xml:space="preserve">Article 75 de la loi 90-11 pour la saisine. Article 94 pour le délai : les avis doivent être émis dans un délai maximum de quinze (15) jours après exposé des motifs formulés par l'employeur. Le même article ajoute qu'en cas de désaccord sur le règlement intérieur, l'inspecteur du travail est obligatoirement saisi.</w:t>
      </w:r>
    </w:p>
    <w:p>
      <w:pPr>
        <w:spacing w:before="180" w:after="100"/>
      </w:pPr>
      <w:r>
        <w:rPr>
          <w:b/>
          <w:sz w:val="22"/>
          <w:szCs w:val="22"/>
          <w:color w:val="1E4E79"/>
        </w:rPr>
        <w:t xml:space="preserve">Article 17. Dépôt</w:t>
      </w:r>
    </w:p>
    <w:p>
      <w:pPr>
        <w:spacing w:before="0" w:after="120"/>
      </w:pPr>
      <w:r>
        <w:t xml:space="preserve">Le présent règlement intérieur est déposé auprès de l'inspection du travail territorialement compétente de </w:t>
      </w:r>
      <w:r>
        <w:rPr>
          <w:b/>
          <w:highlight w:val="yellow"/>
        </w:rPr>
        <w:t xml:space="preserve">[WILAYA OU CIRCONSCRIPTION]</w:t>
      </w:r>
      <w:r>
        <w:t xml:space="preserve">, pour approbation de conformité avec la législation et la réglementation du travail.</w:t>
      </w:r>
    </w:p>
    <w:p>
      <w:pPr>
        <w:spacing w:before="0" w:after="100"/>
      </w:pPr>
      <w:r>
        <w:rPr>
          <w:i/>
          <w:sz w:val="16"/>
          <w:szCs w:val="16"/>
          <w:color w:val="5A6B7C"/>
        </w:rPr>
        <w:t xml:space="preserve">Article 79, premier alinéa : le dépôt intervient dans un délai de huit (8) jours.</w:t>
      </w:r>
    </w:p>
    <w:p>
      <w:pPr>
        <w:spacing w:before="180" w:after="100"/>
      </w:pPr>
      <w:r>
        <w:rPr>
          <w:b/>
          <w:sz w:val="22"/>
          <w:szCs w:val="22"/>
          <w:color w:val="1E4E79"/>
        </w:rPr>
        <w:t xml:space="preserve">Article 18. Entrée en vigueur</w:t>
      </w:r>
    </w:p>
    <w:p>
      <w:pPr>
        <w:spacing w:before="0" w:after="120"/>
      </w:pPr>
      <w:r>
        <w:t xml:space="preserve">Le présent règlement intérieur prend effet dès son dépôt auprès du greffe territorialement compétent.</w:t>
      </w:r>
    </w:p>
    <w:p>
      <w:pPr>
        <w:spacing w:before="0" w:after="100"/>
      </w:pPr>
      <w:r>
        <w:rPr>
          <w:i/>
          <w:sz w:val="16"/>
          <w:szCs w:val="16"/>
          <w:color w:val="5A6B7C"/>
        </w:rPr>
        <w:t xml:space="preserve">Article 79, second alinéa. Les deux éditions du Journal officiel n° 17 de 1990 ne nomment pas la même juridiction : l'édition française écrit le greffe du travail territorialement compétent, l'édition arabe le greffe du tribunal territorialement compétent. Nous citons les deux et nous ne tranchons pas. Demandez à l'inspection du travail de votre wilaya où elle attend le dépôt, et complétez la clause en conséquence.</w:t>
      </w:r>
    </w:p>
    <w:p>
      <w:pPr>
        <w:spacing w:before="180" w:after="100"/>
      </w:pPr>
      <w:r>
        <w:rPr>
          <w:b/>
          <w:sz w:val="22"/>
          <w:szCs w:val="22"/>
          <w:color w:val="1E4E79"/>
        </w:rPr>
        <w:t xml:space="preserve">Article 19. Publicité</w:t>
      </w:r>
    </w:p>
    <w:p>
      <w:pPr>
        <w:spacing w:before="0" w:after="120"/>
      </w:pPr>
      <w:r>
        <w:t xml:space="preserve">L'employeur assure au présent règlement intérieur une large publicité en direction des travailleurs concernés, par les moyens suivants : </w:t>
      </w:r>
      <w:r>
        <w:rPr>
          <w:b/>
          <w:highlight w:val="yellow"/>
        </w:rPr>
        <w:t xml:space="preserve">[AFFICHAGE, REMISE INDIVIDUELLE, TOUT AUTRE MOYEN RETENU]</w:t>
      </w:r>
      <w:r>
        <w:t xml:space="preserve">.</w:t>
      </w:r>
    </w:p>
    <w:p>
      <w:pPr>
        <w:spacing w:before="0" w:after="100"/>
      </w:pPr>
      <w:r>
        <w:rPr>
          <w:i/>
          <w:sz w:val="16"/>
          <w:szCs w:val="16"/>
          <w:color w:val="5A6B7C"/>
        </w:rPr>
        <w:t xml:space="preserve">Article 79, troisième alinéa. Un règlement intérieur conservé dans un tiroir de la direction ne remplit pas cette condition.</w:t>
      </w:r>
    </w:p>
    <w:p>
      <w:pPr>
        <w:spacing w:before="180" w:after="100"/>
      </w:pPr>
      <w:r>
        <w:rPr>
          <w:b/>
          <w:sz w:val="22"/>
          <w:szCs w:val="22"/>
          <w:color w:val="1E4E79"/>
        </w:rPr>
        <w:t xml:space="preserve">Article 20. Modification</w:t>
      </w:r>
    </w:p>
    <w:p>
      <w:pPr>
        <w:spacing w:before="0" w:after="120"/>
      </w:pPr>
      <w:r>
        <w:t xml:space="preserve">Toute modification du présent règlement intérieur suit la même procédure que son adoption : avis préalable, dépôt et publicité.</w:t>
      </w:r>
    </w:p>
    <w:p>
      <w:pPr>
        <w:spacing w:before="0" w:after="100"/>
      </w:pPr>
      <w:r>
        <w:rPr>
          <w:i/>
          <w:sz w:val="16"/>
          <w:szCs w:val="16"/>
          <w:color w:val="5A6B7C"/>
        </w:rPr>
        <w:t xml:space="preserve">Clause d'usage. Aucun des textes lus ne règle expressément la modification du règlement intérieur ; la clause aligne la modification sur l'adoption plutôt que de laisser la question ouverte.</w:t>
      </w:r>
    </w:p>
    <w:p>
      <w:pPr>
        <w:spacing w:before="0" w:after="60"/>
      </w:pPr>
    </w:p>
    <w:p>
      <w:pPr>
        <w:spacing w:before="0" w:after="120"/>
      </w:pPr>
      <w:r>
        <w:t xml:space="preserve">Fait à </w:t>
      </w:r>
      <w:r>
        <w:rPr>
          <w:b/>
          <w:highlight w:val="yellow"/>
        </w:rPr>
        <w:t xml:space="preserve">[VILLE]</w:t>
      </w:r>
      <w:r>
        <w:t xml:space="preserve">, le </w:t>
      </w:r>
      <w:r>
        <w:rPr>
          <w:b/>
          <w:highlight w:val="yellow"/>
        </w:rPr>
        <w:t xml:space="preserve">[DATE D'ÉTABLISSEMENT]</w:t>
      </w:r>
      <w:r>
        <w:t xml:space="preserve">.</w:t>
      </w:r>
    </w:p>
    <w:p>
      <w:pPr>
        <w:jc w:val="center"/>
        <w:spacing w:before="320" w:after="480"/>
      </w:pPr>
      <w:r>
        <w:rPr>
          <w:b/>
        </w:rPr>
        <w:t xml:space="preserve">Pour l'organisme employeur</w:t>
      </w:r>
      <w:r>
        <w:t xml:space="preserve">      </w:t>
      </w:r>
      <w:r>
        <w:rPr>
          <w:b/>
        </w:rPr>
        <w:t xml:space="preserve">Visa de l'inspection du travail</w:t>
      </w:r>
    </w:p>
    <w:p>
      <w:r>
        <w:br w:type="page"/>
      </w:r>
    </w:p>
    <w:p>
      <w:pPr>
        <w:spacing w:before="260" w:after="120"/>
      </w:pPr>
      <w:r>
        <w:rPr>
          <w:b/>
          <w:sz w:val="26"/>
          <w:szCs w:val="26"/>
          <w:color w:val="1E4E79"/>
        </w:rPr>
        <w:t xml:space="preserve">Références légales citées dans ce modèle</w:t>
      </w:r>
    </w:p>
    <w:p>
      <w:pPr>
        <w:numPr>
          <w:ilvl w:val="0"/>
          <w:numId w:val="1"/>
        </w:numPr>
        <w:spacing w:before="0" w:after="60"/>
      </w:pPr>
      <w:r>
        <w:t xml:space="preserve">Loi n° 90-11 du 21 avril 1990 relative aux relations de travail, Journal officiel n° 17 du 25 avril 1990. Articles 75 et 76 pour le seuil de vingt travailleurs, article 77 pour le contenu obligatoire, article 78 pour la nullité des clauses restrictives de droits, article 79 pour le dépôt, l'entrée en vigueur et la publicité, article 94 pour le délai d'avis et la saisine de l'inspecteur du travail en cas de désaccord, article 54 pour les événements familiaux.</w:t>
      </w:r>
    </w:p>
    <w:p>
      <w:pPr>
        <w:numPr>
          <w:ilvl w:val="0"/>
          <w:numId w:val="1"/>
        </w:numPr>
        <w:spacing w:before="0" w:after="60"/>
      </w:pPr>
      <w:r>
        <w:t xml:space="preserve">Loi n° 91-29 du 21 décembre 1991 modifiant et complétant la loi 90-11, Journal officiel n° 68 du 25 décembre 1991. Article 73 pour les fautes graves, article 73-1 pour l'appréciation de la faute, article 73-2 pour la procédure disciplinaire, article 73-3 pour la présomption de licenciement abusif.</w:t>
      </w:r>
    </w:p>
    <w:p>
      <w:pPr>
        <w:numPr>
          <w:ilvl w:val="0"/>
          <w:numId w:val="1"/>
        </w:numPr>
        <w:spacing w:before="0" w:after="60"/>
      </w:pPr>
      <w:r>
        <w:t xml:space="preserve">Ordonnance n° 97-03 du 11 janvier 1997 fixant la durée légale du travail, Journal officiel n° 3 du 12 janvier 1997. Article 2 pour les quarante heures, article 6 pour la pause, article 7 pour l'amplitude journalière, article 8 pour l'abrogation des articles 22 à 26 de la loi 90-11.</w:t>
      </w:r>
    </w:p>
    <w:p>
      <w:pPr>
        <w:spacing w:before="0" w:after="100"/>
      </w:pPr>
      <w:r>
        <w:rPr>
          <w:i/>
          <w:sz w:val="16"/>
          <w:szCs w:val="16"/>
          <w:color w:val="5A6B7C"/>
        </w:rPr>
        <w:t xml:space="preserve">Chacun de ces textes a été lu sur le rendu image de la page du Journal officiel, et non sur le texte extrait automatiquement : les numéros antérieurs à 2002 sont des scans dont l'extraction ne rend aucun caractère. Le détail de la vérification est publié sur upgrowth.dz/modele-reglement-interieur-algerie.</w:t>
      </w:r>
    </w:p>
    <w:sectPr>
      <w:footerReference w:type="default" r:id="rId3"/>
      <w:pgSz w:w="11906" w:h="16838"/>
      <w:pgMar w:top="1418" w:right="1418" w:bottom="1418" w:left="1418" w:header="709" w:footer="709" w:gutter="0"/>
    </w:sectPr>
  </w:body>
</w:document>
</file>

<file path=word/footer1.xml><?xml version="1.0" encoding="utf-8"?>
<w:ftr xmlns:w="http://schemas.openxmlformats.org/wordprocessingml/2006/main">
  <w:p>
    <w:pPr>
      <w:pStyle w:val="Footer"/>
    </w:pPr>
    <w:r>
      <w:rPr>
        <w:sz w:val="15"/>
        <w:color w:val="5A6B7C"/>
      </w:rPr>
      <w:t xml:space="preserve">Modèle informatif gratuit fourni par UpGrowth (upgrowth.dz). Ne constitue pas une consultation juridique. À lire avec votre convention collective de branche et le règlement intérieur de l'entreprise.</w:t>
    </w:r>
  </w:p>
</w:ftr>
</file>

<file path=word/numbering.xml><?xml version="1.0" encoding="utf-8"?>
<w:numbering xmlns:w="http://schemas.openxmlformats.org/wordprocessingml/2006/main">
  <w:abstractNum w:abstractNumId="0">
    <w:multiLevelType w:val="hybridMultilevel"/>
    <w:lvl w:ilvl="0">
      <w:start w:val="1"/>
      <w:numFmt w:val="bullet"/>
      <w:lvlText w:val=""/>
      <w:lvlJc w:val="left"/>
      <w:pPr>
        <w:ind w:left="720" w:hanging="360"/>
      </w:pPr>
      <w:rPr>
        <w:rFonts w:ascii="Symbol" w:hAnsi="Symbol" w:hint="default"/>
      </w:rPr>
    </w:lvl>
  </w:abstractNum>
  <w:abstractNum w:abstractNumId="1">
    <w:multiLevelType w:val="hybridMultilevel"/>
    <w:lvl w:ilvl="0">
      <w:start w:val="1"/>
      <w:numFmt w:val="decimal"/>
      <w:lvlText w:val="%1."/>
      <w:lvlJc w:val="left"/>
      <w:pPr>
        <w:ind w:left="720" w:hanging="360"/>
      </w:pPr>
    </w:lvl>
  </w:abstractNum>
  <w:num w:numId="1">
    <w:abstractNumId w:val="0"/>
  </w:num>
  <w:num w:numId="2">
    <w:abstractNumId w:val="1"/>
  </w:num>
</w:numbering>
</file>

<file path=word/styles.xml><?xml version="1.0" encoding="utf-8"?>
<w:styles xmlns:w="http://schemas.openxmlformats.org/wordprocessingml/2006/main">
  <w:docDefaults>
    <w:rPrDefault>
      <w:rPr>
        <w:rFonts w:ascii="Calibri" w:hAnsi="Calibri" w:cs="Calibri"/>
        <w:sz w:val="21"/>
        <w:szCs w:val="21"/>
        <w:lang w:val="fr-FR"/>
      </w:rPr>
    </w:rPrDefault>
    <w:pPrDefault>
      <w:pPr>
        <w:spacing w:after="120" w:line="276" w:lineRule="auto"/>
        <w:jc w:val="both"/>
      </w:pPr>
    </w:pPrDefault>
  </w:docDefaults>
  <w:style w:type="paragraph" w:default="1" w:styleId="Normal">
    <w:name w:val="Normal"/>
    <w:qFormat/>
  </w:style>
  <w:style w:type="paragraph" w:styleId="Footer">
    <w:name w:val="footer"/>
    <w:pPr>
      <w:jc w:val="center"/>
      <w:spacing w:after="0"/>
    </w:pPr>
    <w:rPr>
      <w:sz w:val="15"/>
      <w:szCs w:val="15"/>
      <w:color w:val="5A6B7C"/>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footer" Target="footer1.xml"/>
</Relationships>
</file>

<file path=docProps/app.xml><?xml version="1.0" encoding="utf-8"?>
<Properties xmlns="http://schemas.openxmlformats.org/officeDocument/2006/extended-properties" xmlns:vt="http://schemas.openxmlformats.org/officeDocument/2006/docPropsVTypes">
  <Application>UpGrowth Template Generator</Application>
  <Company>UpGrowth</Company>
</Properties>
</file>

<file path=docProps/core.xml><?xml version="1.0" encoding="utf-8"?>
<cp:coreProperties xmlns:cp="http://schemas.openxmlformats.org/package/2006/metadata/core-properties" xmlns:dc="http://purl.org/dc/elements/1.1/" xmlns:dcterms="http://purl.org/dc/terms/" xmlns:xsi="http://www.w3.org/2001/XMLSchema-instance">
  <dc:title>Reglement interieur d'entreprise, droit algerien</dc:title>
  <dc:subject>Modele informatif de reglement interieur, chaque rubrique rattachee a son article de la loi 90-11: contenu obligatoire de l'article 77, limite de l'article 78, circuit d'avis et de depot des articles 75, 94 et 79.</dc:subject>
  <dc:creator>UpGrowth (upgrowth.dz)</dc:creator>
  <cp:keywords>reglement interieur, loi 90-11, article 75, article 77, article 79, Algerie, modele Word</cp:keywords>
  <cp:lastModifiedBy>UpGrowth</cp:lastModifiedBy>
  <dcterms:created xsi:type="dcterms:W3CDTF">2026-07-30T00:00:00Z</dcterms:created>
  <dcterms:modified xsi:type="dcterms:W3CDTF">2026-07-30T00:00:00Z</dcterms:modified>
  <dc:language>fr-DZ</dc:language>
</cp:coreProperties>
</file>