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bidi/>
        <w:jc w:val="center"/>
        <w:spacing w:before="0" w:after="160"/>
      </w:pPr>
      <w:r>
        <w:rPr>
          <w:rFonts w:ascii="Arial" w:hAnsi="Arial" w:cs="Arial"/>
          <w:b/>
          <w:bCs/>
          <w:sz w:val="36"/>
          <w:szCs w:val="36"/>
          <w:color w:val="0B2E4F"/>
          <w:lang w:bidi="ar-DZ"/>
          <w:rtl/>
        </w:rPr>
        <w:t xml:space="preserve">النظام الداخلي</w:t>
      </w:r>
    </w:p>
    <w:p>
      <w:pPr>
        <w:bidi/>
        <w:jc w:val="center"/>
        <w:spacing w:before="0" w:after="240"/>
      </w:pPr>
      <w:r>
        <w:rPr>
          <w:rFonts w:ascii="Arial" w:hAnsi="Arial" w:cs="Arial"/>
          <w:i/>
          <w:iCs/>
          <w:sz w:val="22"/>
          <w:szCs w:val="22"/>
          <w:color w:val="44607A"/>
          <w:lang w:bidi="ar-DZ"/>
          <w:rtl/>
        </w:rPr>
        <w:t xml:space="preserve">نموذج إعلامي، القانون الجزائري، القانون رقم 90-11 المؤرخ في 21 أبريل سنة 1990 المتعلق بعلاقات العمل، المواد من 75 إلى 79</w:t>
      </w:r>
    </w:p>
    <w:p>
      <w:pPr>
        <w:bidi/>
        <w:spacing w:before="160" w:after="160"/>
        <w:pBdr>
          <w:top w:val="single" w:sz="6" w:space="6" w:color="1E4E79"/>
          <w:left w:val="single" w:sz="6" w:space="6" w:color="1E4E79"/>
          <w:bottom w:val="single" w:sz="6" w:space="6" w:color="1E4E79"/>
          <w:right w:val="single" w:sz="6" w:space="6" w:color="1E4E79"/>
        </w:pBdr>
        <w:shd w:val="clear" w:color="auto" w:fill="EAF1F8"/>
      </w:pPr>
      <w:r>
        <w:rPr>
          <w:rFonts w:ascii="Arial" w:hAnsi="Arial" w:cs="Arial"/>
          <w:b/>
          <w:bCs/>
          <w:color w:val="0B2E4F"/>
          <w:lang w:bidi="ar-DZ"/>
          <w:rtl/>
        </w:rPr>
        <w:t xml:space="preserve">قبل تعميم هذه الوثيقة. تفرض المادة 75 من القانون 90-11 عرضها لإبداء الرأي على أجهزة المشاركة أو على ممثلي العمال قبل تطبيقها. ثم تفرض المادة 79 إيداعها لدى مفتشية العمل المختصة إقليمياً للمصادقة على المطابقة في أجل ثمانية (08) أيام. فنظام داخلي مملوء لكن غير معروض ولا مودع لا يُنتج أثراً.</w:t>
      </w:r>
    </w:p>
    <w:p>
      <w:pPr>
        <w:bidi/>
        <w:spacing w:before="260" w:after="120"/>
      </w:pPr>
      <w:r>
        <w:rPr>
          <w:rFonts w:ascii="Arial" w:hAnsi="Arial" w:cs="Arial"/>
          <w:b/>
          <w:bCs/>
          <w:sz w:val="26"/>
          <w:szCs w:val="26"/>
          <w:color w:val="1E4E79"/>
          <w:lang w:bidi="ar-DZ"/>
          <w:rtl/>
        </w:rPr>
        <w:t xml:space="preserve">إلى من تتوجه هذه الوثيقة</w:t>
      </w:r>
    </w:p>
    <w:p>
      <w:pPr>
        <w:bidi/>
        <w:spacing w:before="0" w:after="120"/>
      </w:pPr>
      <w:r>
        <w:rPr>
          <w:rFonts w:ascii="Arial" w:hAnsi="Arial" w:cs="Arial"/>
          <w:lang w:bidi="ar-DZ"/>
          <w:rtl/>
        </w:rPr>
        <w:t xml:space="preserve">تُلزم المادة 75 من القانون 90-11 المستخدمَ الذي يشغل عشرين (20) عاملاً فأكثر بإعداد نظام داخلي. وتجعله المادة 76 اختيارياً تحت هذه العتبة: يمكن المستخدم في المؤسسات التي تشغل أقل من عشرين (20) عاملاً أن يعد نظاماً داخلياً حسب خصوصيات الأنشطة الممارسة، وتُحدد طبيعة هذه الأنشطة عن طريق التنظيم.</w:t>
      </w:r>
    </w:p>
    <w:p>
      <w:pPr>
        <w:bidi/>
        <w:spacing w:before="0" w:after="100"/>
      </w:pPr>
      <w:r>
        <w:rPr>
          <w:rFonts w:ascii="Arial" w:hAnsi="Arial" w:cs="Arial"/>
          <w:i/>
          <w:iCs/>
          <w:sz w:val="16"/>
          <w:szCs w:val="16"/>
          <w:color w:val="5A6B7C"/>
          <w:lang w:bidi="ar-DZ"/>
          <w:rtl/>
        </w:rPr>
        <w:t xml:space="preserve">ولم نقرأ النص التنظيمي الذي يضبط قائمة هذه الأنشطة ولا نعيد تركيبها. فإن كان عدد عمالكم أقل من عشرين فذلك النص هو ما ينبغي الرجوع إليه قبل الحسم.</w:t>
      </w:r>
    </w:p>
    <w:p>
      <w:pPr>
        <w:bidi/>
        <w:spacing w:before="260" w:after="120"/>
      </w:pPr>
      <w:r>
        <w:rPr>
          <w:rFonts w:ascii="Arial" w:hAnsi="Arial" w:cs="Arial"/>
          <w:b/>
          <w:bCs/>
          <w:sz w:val="26"/>
          <w:szCs w:val="26"/>
          <w:color w:val="1E4E79"/>
          <w:lang w:bidi="ar-DZ"/>
          <w:rtl/>
        </w:rPr>
        <w:t xml:space="preserve">كيفية الملء</w:t>
      </w:r>
    </w:p>
    <w:p>
      <w:pPr>
        <w:bidi/>
        <w:numPr>
          <w:ilvl w:val="0"/>
          <w:numId w:val="1"/>
        </w:numPr>
        <w:spacing w:before="0" w:after="60"/>
      </w:pPr>
      <w:r>
        <w:rPr>
          <w:rFonts w:ascii="Arial" w:hAnsi="Arial" w:cs="Arial"/>
          <w:lang w:bidi="ar-DZ"/>
          <w:rtl/>
        </w:rPr>
        <w:t xml:space="preserve">تُشير المعقوفتان إلى ما يعود إليكم. استبدلوا ما بداخلهما، وامحوا المعقوفتين معه.</w:t>
      </w:r>
    </w:p>
    <w:p>
      <w:pPr>
        <w:bidi/>
        <w:numPr>
          <w:ilvl w:val="0"/>
          <w:numId w:val="1"/>
        </w:numPr>
        <w:spacing w:before="0" w:after="60"/>
      </w:pPr>
      <w:r>
        <w:rPr>
          <w:rFonts w:ascii="Arial" w:hAnsi="Arial" w:cs="Arial"/>
          <w:lang w:bidi="ar-DZ"/>
          <w:rtl/>
        </w:rPr>
        <w:t xml:space="preserve">يحمل كل عنوان، بخط صغير، المادة التي يستند إليها أو عبارة بند عُرفي. لا تحذفوا هذه الإشارات قبل المراجعة: فهي التي تسمح بالتحقق مما هو إلزامي وما ليس كذلك.</w:t>
      </w:r>
    </w:p>
    <w:p>
      <w:pPr>
        <w:bidi/>
        <w:numPr>
          <w:ilvl w:val="0"/>
          <w:numId w:val="1"/>
        </w:numPr>
        <w:spacing w:before="0" w:after="60"/>
      </w:pPr>
      <w:r>
        <w:rPr>
          <w:rFonts w:ascii="Arial" w:hAnsi="Arial" w:cs="Arial"/>
          <w:lang w:bidi="ar-DZ"/>
          <w:rtl/>
        </w:rPr>
        <w:t xml:space="preserve">قابلوا كل باب بالاتفاقية الجماعية لفرعكم. فالمادة 78 تُلغي كل بند يلغي حقاً ناشئاً عن القوانين أو التنظيمات أو الاتفاقيات والاتفاقات الجماعية المعمول بها أو يحد منه.</w:t>
      </w:r>
    </w:p>
    <w:p>
      <w:pPr>
        <w:bidi/>
        <w:numPr>
          <w:ilvl w:val="0"/>
          <w:numId w:val="1"/>
        </w:numPr>
        <w:spacing w:before="0" w:after="60"/>
      </w:pPr>
      <w:r>
        <w:rPr>
          <w:rFonts w:ascii="Arial" w:hAnsi="Arial" w:cs="Arial"/>
          <w:lang w:bidi="ar-DZ"/>
          <w:rtl/>
        </w:rPr>
        <w:t xml:space="preserve">جدول الانضباط فارغ عن قصد. فهو يعود إليكم: المادة 77 تُسند تحريره إليكم.</w:t>
      </w:r>
    </w:p>
    <w:p>
      <w:r>
        <w:br w:type="page"/>
      </w:r>
    </w:p>
    <w:p>
      <w:pPr>
        <w:bidi/>
        <w:jc w:val="center"/>
        <w:spacing w:before="0" w:after="160"/>
      </w:pPr>
      <w:r>
        <w:rPr>
          <w:rFonts w:ascii="Arial" w:hAnsi="Arial" w:cs="Arial"/>
          <w:b/>
          <w:bCs/>
          <w:sz w:val="36"/>
          <w:szCs w:val="36"/>
          <w:color w:val="0B2E4F"/>
          <w:lang w:bidi="ar-DZ"/>
          <w:rtl/>
        </w:rPr>
        <w:t xml:space="preserve">النظام الداخلي لـ </w:t>
      </w:r>
      <w:r>
        <w:rPr>
          <w:rFonts w:ascii="Arial" w:hAnsi="Arial" w:cs="Arial"/>
          <w:b/>
          <w:bCs/>
          <w:sz w:val="36"/>
          <w:szCs w:val="36"/>
          <w:color w:val="0B2E4F"/>
          <w:highlight w:val="yellow"/>
          <w:lang w:bidi="ar-DZ"/>
          <w:rtl/>
        </w:rPr>
        <w:t xml:space="preserve">[التسمية الاجتماعية]</w:t>
      </w:r>
    </w:p>
    <w:p>
      <w:pPr>
        <w:bidi/>
        <w:spacing w:before="0" w:after="60"/>
      </w:pPr>
    </w:p>
    <w:p>
      <w:pPr>
        <w:bidi/>
        <w:spacing w:before="0" w:after="120"/>
      </w:pPr>
      <w:r>
        <w:rPr>
          <w:rFonts w:ascii="Arial" w:hAnsi="Arial" w:cs="Arial"/>
          <w:b/>
          <w:bCs/>
          <w:highlight w:val="yellow"/>
          <w:lang w:bidi="ar-DZ"/>
          <w:rtl/>
        </w:rPr>
        <w:t xml:space="preserve">[التسمية الاجتماعية]</w:t>
      </w:r>
    </w:p>
    <w:p>
      <w:pPr>
        <w:bidi/>
        <w:spacing w:before="0" w:after="120"/>
      </w:pPr>
      <w:r>
        <w:rPr>
          <w:rFonts w:ascii="Arial" w:hAnsi="Arial" w:cs="Arial"/>
          <w:b/>
          <w:bCs/>
          <w:highlight w:val="yellow"/>
          <w:lang w:bidi="ar-DZ"/>
          <w:rtl/>
        </w:rPr>
        <w:t xml:space="preserve">[الشكل القانوني]</w:t>
      </w:r>
      <w:r>
        <w:rPr>
          <w:rFonts w:ascii="Arial" w:hAnsi="Arial" w:cs="Arial"/>
          <w:lang w:bidi="ar-DZ"/>
          <w:rtl/>
        </w:rPr>
        <w:t xml:space="preserve">، برأس مال </w:t>
      </w:r>
      <w:r>
        <w:rPr>
          <w:rFonts w:ascii="Arial" w:hAnsi="Arial" w:cs="Arial"/>
          <w:b/>
          <w:bCs/>
          <w:highlight w:val="yellow"/>
          <w:lang w:bidi="ar-DZ"/>
          <w:rtl/>
        </w:rPr>
        <w:t xml:space="preserve">[مبلغ رأس المال]</w:t>
      </w:r>
      <w:r>
        <w:rPr>
          <w:rFonts w:ascii="Arial" w:hAnsi="Arial" w:cs="Arial"/>
          <w:lang w:bidi="ar-DZ"/>
          <w:rtl/>
        </w:rPr>
        <w:t xml:space="preserve"> دج</w:t>
      </w:r>
    </w:p>
    <w:p>
      <w:pPr>
        <w:bidi/>
        <w:spacing w:before="0" w:after="120"/>
      </w:pPr>
      <w:r>
        <w:rPr>
          <w:rFonts w:ascii="Arial" w:hAnsi="Arial" w:cs="Arial"/>
          <w:lang w:bidi="ar-DZ"/>
          <w:rtl/>
        </w:rPr>
        <w:t xml:space="preserve">المقر الاجتماعي: </w:t>
      </w:r>
      <w:r>
        <w:rPr>
          <w:rFonts w:ascii="Arial" w:hAnsi="Arial" w:cs="Arial"/>
          <w:b/>
          <w:bCs/>
          <w:highlight w:val="yellow"/>
          <w:lang w:bidi="ar-DZ"/>
          <w:rtl/>
        </w:rPr>
        <w:t xml:space="preserve">[العنوان الكامل للمقر]</w:t>
      </w:r>
    </w:p>
    <w:p>
      <w:pPr>
        <w:bidi/>
        <w:spacing w:before="0" w:after="120"/>
      </w:pPr>
      <w:r>
        <w:rPr>
          <w:rFonts w:ascii="Arial" w:hAnsi="Arial" w:cs="Arial"/>
          <w:lang w:bidi="ar-DZ"/>
          <w:rtl/>
        </w:rPr>
        <w:t xml:space="preserve">السجل التجاري رقم </w:t>
      </w:r>
      <w:r>
        <w:rPr>
          <w:rFonts w:ascii="Arial" w:hAnsi="Arial" w:cs="Arial"/>
          <w:b/>
          <w:bCs/>
          <w:highlight w:val="yellow"/>
          <w:lang w:bidi="ar-DZ"/>
          <w:rtl/>
        </w:rPr>
        <w:t xml:space="preserve">[رقم السجل التجاري]</w:t>
      </w:r>
    </w:p>
    <w:p>
      <w:pPr>
        <w:bidi/>
        <w:spacing w:before="0" w:after="120"/>
      </w:pPr>
      <w:r>
        <w:rPr>
          <w:rFonts w:ascii="Arial" w:hAnsi="Arial" w:cs="Arial"/>
          <w:lang w:bidi="ar-DZ"/>
          <w:rtl/>
        </w:rPr>
        <w:t xml:space="preserve">رقم التعريف الجبائي: </w:t>
      </w:r>
      <w:r>
        <w:rPr>
          <w:rFonts w:ascii="Arial" w:hAnsi="Arial" w:cs="Arial"/>
          <w:b/>
          <w:bCs/>
          <w:highlight w:val="yellow"/>
          <w:lang w:bidi="ar-DZ"/>
          <w:rtl/>
        </w:rPr>
        <w:t xml:space="preserve">[NIF]</w:t>
      </w:r>
    </w:p>
    <w:p>
      <w:pPr>
        <w:bidi/>
        <w:spacing w:before="0" w:after="120"/>
      </w:pPr>
      <w:r>
        <w:rPr>
          <w:rFonts w:ascii="Arial" w:hAnsi="Arial" w:cs="Arial"/>
          <w:lang w:bidi="ar-DZ"/>
          <w:rtl/>
        </w:rPr>
        <w:t xml:space="preserve">عدد العمال المشتغلين بتاريخ الإعداد: </w:t>
      </w:r>
      <w:r>
        <w:rPr>
          <w:rFonts w:ascii="Arial" w:hAnsi="Arial" w:cs="Arial"/>
          <w:b/>
          <w:bCs/>
          <w:highlight w:val="yellow"/>
          <w:lang w:bidi="ar-DZ"/>
          <w:rtl/>
        </w:rPr>
        <w:t xml:space="preserve">[عدد العمال]</w:t>
      </w:r>
      <w:r>
        <w:rPr>
          <w:rFonts w:ascii="Arial" w:hAnsi="Arial" w:cs="Arial"/>
          <w:lang w:bidi="ar-DZ"/>
          <w:rtl/>
        </w:rPr>
        <w:t xml:space="preserve"> عاملاً</w:t>
      </w:r>
    </w:p>
    <w:p>
      <w:pPr>
        <w:bidi/>
        <w:spacing w:before="0" w:after="60"/>
      </w:pPr>
    </w:p>
    <w:p>
      <w:pPr>
        <w:bidi/>
        <w:spacing w:before="260" w:after="120"/>
      </w:pPr>
      <w:r>
        <w:rPr>
          <w:rFonts w:ascii="Arial" w:hAnsi="Arial" w:cs="Arial"/>
          <w:b/>
          <w:bCs/>
          <w:sz w:val="26"/>
          <w:szCs w:val="26"/>
          <w:color w:val="1E4E79"/>
          <w:lang w:bidi="ar-DZ"/>
          <w:rtl/>
        </w:rPr>
        <w:t xml:space="preserve">الباب الأول. الموضوع ومجال التطبيق</w:t>
      </w:r>
    </w:p>
    <w:p>
      <w:pPr>
        <w:bidi/>
        <w:spacing w:before="180" w:after="100"/>
      </w:pPr>
      <w:r>
        <w:rPr>
          <w:rFonts w:ascii="Arial" w:hAnsi="Arial" w:cs="Arial"/>
          <w:b/>
          <w:bCs/>
          <w:sz w:val="22"/>
          <w:szCs w:val="22"/>
          <w:color w:val="1E4E79"/>
          <w:lang w:bidi="ar-DZ"/>
          <w:rtl/>
        </w:rPr>
        <w:t xml:space="preserve">المادة 1. الموضوع</w:t>
      </w:r>
    </w:p>
    <w:p>
      <w:pPr>
        <w:bidi/>
        <w:spacing w:before="0" w:after="120"/>
      </w:pPr>
      <w:r>
        <w:rPr>
          <w:rFonts w:ascii="Arial" w:hAnsi="Arial" w:cs="Arial"/>
          <w:lang w:bidi="ar-DZ"/>
          <w:rtl/>
        </w:rPr>
        <w:t xml:space="preserve">يُحدد هذا النظام الداخلي القواعد المتعلقة بالتنظيم التقني للعمل والوقاية الصحية والأمن والانضباط داخل </w:t>
      </w:r>
      <w:r>
        <w:rPr>
          <w:rFonts w:ascii="Arial" w:hAnsi="Arial" w:cs="Arial"/>
          <w:b/>
          <w:bCs/>
          <w:highlight w:val="yellow"/>
          <w:lang w:bidi="ar-DZ"/>
          <w:rtl/>
        </w:rPr>
        <w:t xml:space="preserve">[التسمية الاجتماعية]</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77 من القانون 90-11. وهذه المواد الأربع هي الحد الأدنى من مضمون النظام الداخلي. فنظام لا يعالج منها إلا ثلاثاً يبقى ناقصاً بمقتضى المادة.</w:t>
      </w:r>
    </w:p>
    <w:p>
      <w:pPr>
        <w:bidi/>
        <w:spacing w:before="180" w:after="100"/>
      </w:pPr>
      <w:r>
        <w:rPr>
          <w:rFonts w:ascii="Arial" w:hAnsi="Arial" w:cs="Arial"/>
          <w:b/>
          <w:bCs/>
          <w:sz w:val="22"/>
          <w:szCs w:val="22"/>
          <w:color w:val="1E4E79"/>
          <w:lang w:bidi="ar-DZ"/>
          <w:rtl/>
        </w:rPr>
        <w:t xml:space="preserve">المادة 2. مجال التطبيق</w:t>
      </w:r>
    </w:p>
    <w:p>
      <w:pPr>
        <w:bidi/>
        <w:spacing w:before="0" w:after="120"/>
      </w:pPr>
      <w:r>
        <w:rPr>
          <w:rFonts w:ascii="Arial" w:hAnsi="Arial" w:cs="Arial"/>
          <w:lang w:bidi="ar-DZ"/>
          <w:rtl/>
        </w:rPr>
        <w:t xml:space="preserve">يسري على جميع عمال الهيئة المستخدمة، مهما كان منصبهم وتصنيفهم وطبيعة عقد عملهم، وفي جميع أماكن عمل المؤسسة.</w:t>
      </w:r>
    </w:p>
    <w:p>
      <w:pPr>
        <w:bidi/>
        <w:spacing w:before="0" w:after="100"/>
      </w:pPr>
      <w:r>
        <w:rPr>
          <w:rFonts w:ascii="Arial" w:hAnsi="Arial" w:cs="Arial"/>
          <w:i/>
          <w:iCs/>
          <w:sz w:val="16"/>
          <w:szCs w:val="16"/>
          <w:color w:val="5A6B7C"/>
          <w:lang w:bidi="ar-DZ"/>
          <w:rtl/>
        </w:rPr>
        <w:t xml:space="preserve">بند عُرفي. فلا نص من النصوص المقروءة يضبط مجال تطبيق النظام الداخلي؛ ولذلك يضبطه البند صراحةً تفادياً لكل نقاش.</w:t>
      </w:r>
    </w:p>
    <w:p>
      <w:pPr>
        <w:bidi/>
        <w:spacing w:before="180" w:after="100"/>
      </w:pPr>
      <w:r>
        <w:rPr>
          <w:rFonts w:ascii="Arial" w:hAnsi="Arial" w:cs="Arial"/>
          <w:b/>
          <w:bCs/>
          <w:sz w:val="22"/>
          <w:szCs w:val="22"/>
          <w:color w:val="1E4E79"/>
          <w:lang w:bidi="ar-DZ"/>
          <w:rtl/>
        </w:rPr>
        <w:t xml:space="preserve">المادة 3. الصلة بالنصوص الأعلى</w:t>
      </w:r>
    </w:p>
    <w:p>
      <w:pPr>
        <w:bidi/>
        <w:spacing w:before="0" w:after="120"/>
      </w:pPr>
      <w:r>
        <w:rPr>
          <w:rFonts w:ascii="Arial" w:hAnsi="Arial" w:cs="Arial"/>
          <w:lang w:bidi="ar-DZ"/>
          <w:rtl/>
        </w:rPr>
        <w:t xml:space="preserve">يسري هذا النظام الداخلي مع مراعاة الأحكام التشريعية والتنظيمية المعمول بها والاتفاقية الجماعية المطبقة على المؤسسة. وكل بند من بنوده يلغي حقوق العمال أو يحد منها كما تنص عليها القوانين والتنظيمات والاتفاقيات أو الاتفاقات الجماعية المعمول بها يُعد لاغياً وعديم المفعول.</w:t>
      </w:r>
    </w:p>
    <w:p>
      <w:pPr>
        <w:bidi/>
        <w:spacing w:before="0" w:after="100"/>
      </w:pPr>
      <w:r>
        <w:rPr>
          <w:rFonts w:ascii="Arial" w:hAnsi="Arial" w:cs="Arial"/>
          <w:i/>
          <w:iCs/>
          <w:sz w:val="16"/>
          <w:szCs w:val="16"/>
          <w:color w:val="5A6B7C"/>
          <w:lang w:bidi="ar-DZ"/>
          <w:rtl/>
        </w:rPr>
        <w:t xml:space="preserve">المادة 78 من القانون 90-11، منقولة بحرفها. وليس هذا البند احتياطاً شكلياً: إنه يُذكّر بالحد الذي يضعه النص نفسه.</w:t>
      </w:r>
    </w:p>
    <w:p>
      <w:pPr>
        <w:bidi/>
        <w:spacing w:before="260" w:after="120"/>
      </w:pPr>
      <w:r>
        <w:rPr>
          <w:rFonts w:ascii="Arial" w:hAnsi="Arial" w:cs="Arial"/>
          <w:b/>
          <w:bCs/>
          <w:sz w:val="26"/>
          <w:szCs w:val="26"/>
          <w:color w:val="1E4E79"/>
          <w:lang w:bidi="ar-DZ"/>
          <w:rtl/>
        </w:rPr>
        <w:t xml:space="preserve">الباب الثاني. التنظيم التقني للعمل</w:t>
      </w:r>
    </w:p>
    <w:p>
      <w:pPr>
        <w:bidi/>
        <w:spacing w:before="180" w:after="100"/>
      </w:pPr>
      <w:r>
        <w:rPr>
          <w:rFonts w:ascii="Arial" w:hAnsi="Arial" w:cs="Arial"/>
          <w:b/>
          <w:bCs/>
          <w:sz w:val="22"/>
          <w:szCs w:val="22"/>
          <w:color w:val="1E4E79"/>
          <w:lang w:bidi="ar-DZ"/>
          <w:rtl/>
        </w:rPr>
        <w:t xml:space="preserve">المادة 4. مدة العمل وتوزيعها</w:t>
      </w:r>
    </w:p>
    <w:p>
      <w:pPr>
        <w:bidi/>
        <w:spacing w:before="0" w:after="120"/>
      </w:pPr>
      <w:r>
        <w:rPr>
          <w:rFonts w:ascii="Arial" w:hAnsi="Arial" w:cs="Arial"/>
          <w:lang w:bidi="ar-DZ"/>
          <w:rtl/>
        </w:rPr>
        <w:t xml:space="preserve">تُحدد المدة الأسبوعية للعمل بـ </w:t>
      </w:r>
      <w:r>
        <w:rPr>
          <w:rFonts w:ascii="Arial" w:hAnsi="Arial" w:cs="Arial"/>
          <w:b/>
          <w:bCs/>
          <w:highlight w:val="yellow"/>
          <w:lang w:bidi="ar-DZ"/>
          <w:rtl/>
        </w:rPr>
        <w:t xml:space="preserve">[المدة الأسبوعية المعتمدة]</w:t>
      </w:r>
      <w:r>
        <w:rPr>
          <w:rFonts w:ascii="Arial" w:hAnsi="Arial" w:cs="Arial"/>
          <w:lang w:bidi="ar-DZ"/>
          <w:rtl/>
        </w:rPr>
        <w:t xml:space="preserve"> ساعة، موزعة على </w:t>
      </w:r>
      <w:r>
        <w:rPr>
          <w:rFonts w:ascii="Arial" w:hAnsi="Arial" w:cs="Arial"/>
          <w:b/>
          <w:bCs/>
          <w:highlight w:val="yellow"/>
          <w:lang w:bidi="ar-DZ"/>
          <w:rtl/>
        </w:rPr>
        <w:t xml:space="preserve">[عدد الأيام]</w:t>
      </w:r>
      <w:r>
        <w:rPr>
          <w:rFonts w:ascii="Arial" w:hAnsi="Arial" w:cs="Arial"/>
          <w:lang w:bidi="ar-DZ"/>
          <w:rtl/>
        </w:rPr>
        <w:t xml:space="preserve"> أيام عمل، وفق التوقيت المُعلق في أماكن العمل.</w:t>
      </w:r>
    </w:p>
    <w:p>
      <w:pPr>
        <w:bidi/>
        <w:spacing w:before="0" w:after="100"/>
      </w:pPr>
      <w:r>
        <w:rPr>
          <w:rFonts w:ascii="Arial" w:hAnsi="Arial" w:cs="Arial"/>
          <w:i/>
          <w:iCs/>
          <w:sz w:val="16"/>
          <w:szCs w:val="16"/>
          <w:color w:val="5A6B7C"/>
          <w:lang w:bidi="ar-DZ"/>
          <w:rtl/>
        </w:rPr>
        <w:t xml:space="preserve">المادة 2 من الأمر 97-03 المؤرخ في 11 يناير سنة 1997 الذي يحدد المدة القانونية للعمل: أربعون ساعة في الأسبوع في الظروف العادية للعمل، موزعة على خمسة أيام عمل على الأقل. لا تكتبوا أربعاً وأربعين ساعة: فالمادة 22 من القانون 90-11 التي كانت تحمل هذا الرقم أُلغيت بالمادة 8 من الأمر نفسه.</w:t>
      </w:r>
    </w:p>
    <w:p>
      <w:pPr>
        <w:bidi/>
        <w:spacing w:before="180" w:after="100"/>
      </w:pPr>
      <w:r>
        <w:rPr>
          <w:rFonts w:ascii="Arial" w:hAnsi="Arial" w:cs="Arial"/>
          <w:b/>
          <w:bCs/>
          <w:sz w:val="22"/>
          <w:szCs w:val="22"/>
          <w:color w:val="1E4E79"/>
          <w:lang w:bidi="ar-DZ"/>
          <w:rtl/>
        </w:rPr>
        <w:t xml:space="preserve">المادة 5. السعة اليومية وفترة الراحة</w:t>
      </w:r>
    </w:p>
    <w:p>
      <w:pPr>
        <w:bidi/>
        <w:spacing w:before="0" w:after="120"/>
      </w:pPr>
      <w:r>
        <w:rPr>
          <w:rFonts w:ascii="Arial" w:hAnsi="Arial" w:cs="Arial"/>
          <w:lang w:bidi="ar-DZ"/>
          <w:rtl/>
        </w:rPr>
        <w:t xml:space="preserve">لا يمكن أن تتجاوز السعة اليومية للعمل الفعلي بأي حال اثنتي عشرة (12) ساعة. وفي نظام الجلسة المتواصلة، يُهيئ المستخدم فترة راحة لا يمكن أن تتجاوز ساعة واحدة، تُحسب نصف ساعة منها وقت عمل فعلي.</w:t>
      </w:r>
    </w:p>
    <w:p>
      <w:pPr>
        <w:bidi/>
        <w:spacing w:before="0" w:after="100"/>
      </w:pPr>
      <w:r>
        <w:rPr>
          <w:rFonts w:ascii="Arial" w:hAnsi="Arial" w:cs="Arial"/>
          <w:i/>
          <w:iCs/>
          <w:sz w:val="16"/>
          <w:szCs w:val="16"/>
          <w:color w:val="5A6B7C"/>
          <w:lang w:bidi="ar-DZ"/>
          <w:rtl/>
        </w:rPr>
        <w:t xml:space="preserve">المادتان 7 و6 من الأمر 97-03.</w:t>
      </w:r>
    </w:p>
    <w:p>
      <w:pPr>
        <w:bidi/>
        <w:spacing w:before="180" w:after="100"/>
      </w:pPr>
      <w:r>
        <w:rPr>
          <w:rFonts w:ascii="Arial" w:hAnsi="Arial" w:cs="Arial"/>
          <w:b/>
          <w:bCs/>
          <w:sz w:val="22"/>
          <w:szCs w:val="22"/>
          <w:color w:val="1E4E79"/>
          <w:lang w:bidi="ar-DZ"/>
          <w:rtl/>
        </w:rPr>
        <w:t xml:space="preserve">المادة 6. الدخول والحضور وتسجيل التوقيت</w:t>
      </w:r>
    </w:p>
    <w:p>
      <w:pPr>
        <w:bidi/>
        <w:spacing w:before="0" w:after="120"/>
      </w:pPr>
      <w:r>
        <w:rPr>
          <w:rFonts w:ascii="Arial" w:hAnsi="Arial" w:cs="Arial"/>
          <w:lang w:bidi="ar-DZ"/>
          <w:rtl/>
        </w:rPr>
        <w:t xml:space="preserve">كيفيات الدخول إلى أماكن العمل وتسجيل ساعات الحضور والانصراف وتبرير الغيابات هي الآتية: </w:t>
      </w:r>
      <w:r>
        <w:rPr>
          <w:rFonts w:ascii="Arial" w:hAnsi="Arial" w:cs="Arial"/>
          <w:b/>
          <w:bCs/>
          <w:highlight w:val="yellow"/>
          <w:lang w:bidi="ar-DZ"/>
          <w:rtl/>
        </w:rPr>
        <w:t xml:space="preserve">[وصف الكيفيات المعتمدة]</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بند عُرفي ملحق بالتنظيم التقني للعمل في المادة 77. فلا نص مقروء يفرض طريقة تسجيل بعينها.</w:t>
      </w:r>
    </w:p>
    <w:p>
      <w:pPr>
        <w:bidi/>
        <w:spacing w:before="180" w:after="100"/>
      </w:pPr>
      <w:r>
        <w:rPr>
          <w:rFonts w:ascii="Arial" w:hAnsi="Arial" w:cs="Arial"/>
          <w:b/>
          <w:bCs/>
          <w:sz w:val="22"/>
          <w:szCs w:val="22"/>
          <w:color w:val="1E4E79"/>
          <w:lang w:bidi="ar-DZ"/>
          <w:rtl/>
        </w:rPr>
        <w:t xml:space="preserve">المادة 7. الغيابات والرخص</w:t>
      </w:r>
    </w:p>
    <w:p>
      <w:pPr>
        <w:bidi/>
        <w:spacing w:before="0" w:after="120"/>
      </w:pPr>
      <w:r>
        <w:rPr>
          <w:rFonts w:ascii="Arial" w:hAnsi="Arial" w:cs="Arial"/>
          <w:lang w:bidi="ar-DZ"/>
          <w:rtl/>
        </w:rPr>
        <w:t xml:space="preserve">يجب إبلاغ المستخدم بكل غياب وفق الشروط الآتية: </w:t>
      </w:r>
      <w:r>
        <w:rPr>
          <w:rFonts w:ascii="Arial" w:hAnsi="Arial" w:cs="Arial"/>
          <w:b/>
          <w:bCs/>
          <w:highlight w:val="yellow"/>
          <w:lang w:bidi="ar-DZ"/>
          <w:rtl/>
        </w:rPr>
        <w:t xml:space="preserve">[وصف إجراء الإبلاغ والمبررات المنتظرة]</w:t>
      </w:r>
      <w:r>
        <w:rPr>
          <w:rFonts w:ascii="Arial" w:hAnsi="Arial" w:cs="Arial"/>
          <w:lang w:bidi="ar-DZ"/>
          <w:rtl/>
        </w:rPr>
        <w:t xml:space="preserve">. أما الغيابات التي يرخص بها القانون والاتفاقية الجماعية فتبقى خاضعة لهما.</w:t>
      </w:r>
    </w:p>
    <w:p>
      <w:pPr>
        <w:bidi/>
        <w:spacing w:before="0" w:after="100"/>
      </w:pPr>
      <w:r>
        <w:rPr>
          <w:rFonts w:ascii="Arial" w:hAnsi="Arial" w:cs="Arial"/>
          <w:i/>
          <w:iCs/>
          <w:sz w:val="16"/>
          <w:szCs w:val="16"/>
          <w:color w:val="5A6B7C"/>
          <w:lang w:bidi="ar-DZ"/>
          <w:rtl/>
        </w:rPr>
        <w:t xml:space="preserve">بند عُرفي. وللتذكير: تمنح المادة 54 من القانون 90-11، كما عدّلها الأمر 96-21، ثلاثة أيام مدفوعة الأجر لكل حدث عائلي، وتمنع المادة 78 مخالفتها في اتجاه غير مُواتٍ.</w:t>
      </w:r>
    </w:p>
    <w:p>
      <w:pPr>
        <w:bidi/>
        <w:spacing w:before="260" w:after="120"/>
      </w:pPr>
      <w:r>
        <w:rPr>
          <w:rFonts w:ascii="Arial" w:hAnsi="Arial" w:cs="Arial"/>
          <w:b/>
          <w:bCs/>
          <w:sz w:val="26"/>
          <w:szCs w:val="26"/>
          <w:color w:val="1E4E79"/>
          <w:lang w:bidi="ar-DZ"/>
          <w:rtl/>
        </w:rPr>
        <w:t xml:space="preserve">الباب الثالث. الوقاية الصحية والأمن</w:t>
      </w:r>
    </w:p>
    <w:p>
      <w:pPr>
        <w:bidi/>
        <w:spacing w:before="180" w:after="100"/>
      </w:pPr>
      <w:r>
        <w:rPr>
          <w:rFonts w:ascii="Arial" w:hAnsi="Arial" w:cs="Arial"/>
          <w:b/>
          <w:bCs/>
          <w:sz w:val="22"/>
          <w:szCs w:val="22"/>
          <w:color w:val="1E4E79"/>
          <w:lang w:bidi="ar-DZ"/>
          <w:rtl/>
        </w:rPr>
        <w:t xml:space="preserve">المادة 8. قواعد الوقاية الصحية</w:t>
      </w:r>
    </w:p>
    <w:p>
      <w:pPr>
        <w:bidi/>
        <w:spacing w:before="0" w:after="120"/>
      </w:pPr>
      <w:r>
        <w:rPr>
          <w:rFonts w:ascii="Arial" w:hAnsi="Arial" w:cs="Arial"/>
          <w:b/>
          <w:bCs/>
          <w:highlight w:val="yellow"/>
          <w:lang w:bidi="ar-DZ"/>
          <w:rtl/>
        </w:rPr>
        <w:t xml:space="preserve">[اكتبوا قواعد الوقاية الصحية الخاصة بالنشاط وبالمحلات]</w:t>
      </w:r>
      <w:r>
        <w:rPr>
          <w:rFonts w:ascii="Arial" w:hAnsi="Arial" w:cs="Arial"/>
          <w:lang w:bidi="ar-DZ"/>
          <w:rtl/>
        </w:rPr>
        <w:t xml:space="preserve">.</w:t>
      </w:r>
    </w:p>
    <w:p>
      <w:pPr>
        <w:bidi/>
        <w:spacing w:before="180" w:after="100"/>
      </w:pPr>
      <w:r>
        <w:rPr>
          <w:rFonts w:ascii="Arial" w:hAnsi="Arial" w:cs="Arial"/>
          <w:b/>
          <w:bCs/>
          <w:sz w:val="22"/>
          <w:szCs w:val="22"/>
          <w:color w:val="1E4E79"/>
          <w:lang w:bidi="ar-DZ"/>
          <w:rtl/>
        </w:rPr>
        <w:t xml:space="preserve">المادة 9. قواعد الأمن ووسائل الحماية</w:t>
      </w:r>
    </w:p>
    <w:p>
      <w:pPr>
        <w:bidi/>
        <w:spacing w:before="0" w:after="120"/>
      </w:pPr>
      <w:r>
        <w:rPr>
          <w:rFonts w:ascii="Arial" w:hAnsi="Arial" w:cs="Arial"/>
          <w:b/>
          <w:bCs/>
          <w:highlight w:val="yellow"/>
          <w:lang w:bidi="ar-DZ"/>
          <w:rtl/>
        </w:rPr>
        <w:t xml:space="preserve">[اكتبوا قواعد الأمن ووسائل الحماية المقدمة وشروط ارتدائها الإلزامي]</w:t>
      </w:r>
      <w:r>
        <w:rPr>
          <w:rFonts w:ascii="Arial" w:hAnsi="Arial" w:cs="Arial"/>
          <w:lang w:bidi="ar-DZ"/>
          <w:rtl/>
        </w:rPr>
        <w:t xml:space="preserve">.</w:t>
      </w:r>
    </w:p>
    <w:p>
      <w:pPr>
        <w:bidi/>
        <w:spacing w:before="180" w:after="100"/>
      </w:pPr>
      <w:r>
        <w:rPr>
          <w:rFonts w:ascii="Arial" w:hAnsi="Arial" w:cs="Arial"/>
          <w:b/>
          <w:bCs/>
          <w:sz w:val="22"/>
          <w:szCs w:val="22"/>
          <w:color w:val="1E4E79"/>
          <w:lang w:bidi="ar-DZ"/>
          <w:rtl/>
        </w:rPr>
        <w:t xml:space="preserve">المادة 10. السلوك عند وقوع حادث</w:t>
      </w:r>
    </w:p>
    <w:p>
      <w:pPr>
        <w:bidi/>
        <w:spacing w:before="0" w:after="120"/>
      </w:pPr>
      <w:r>
        <w:rPr>
          <w:rFonts w:ascii="Arial" w:hAnsi="Arial" w:cs="Arial"/>
          <w:b/>
          <w:bCs/>
          <w:highlight w:val="yellow"/>
          <w:lang w:bidi="ar-DZ"/>
          <w:rtl/>
        </w:rPr>
        <w:t xml:space="preserve">[اكتبوا السلوك الواجب اتباعه والأشخاص الواجب إخطارهم ووسائل الإسعاف المتوفرة]</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تُدرج المادة 77 الوقاية الصحية والأمن ضمن المواد الأربع الإلزامية، لكنها لا تكتب مضمونها. فالالتزامات الملموسة مصدرها التشريع الخاص بالوقاية الصحية والأمن وطب العمل، وهو تشريع لم نقرأه لأجل هذا النموذج ولا نلخصه. فهذه المواد الثلاث تُحرر وتلك النصوص أمام أعينكم.</w:t>
      </w:r>
    </w:p>
    <w:p>
      <w:r>
        <w:br w:type="page"/>
      </w:r>
    </w:p>
    <w:p>
      <w:pPr>
        <w:bidi/>
        <w:spacing w:before="260" w:after="120"/>
      </w:pPr>
      <w:r>
        <w:rPr>
          <w:rFonts w:ascii="Arial" w:hAnsi="Arial" w:cs="Arial"/>
          <w:b/>
          <w:bCs/>
          <w:sz w:val="26"/>
          <w:szCs w:val="26"/>
          <w:color w:val="1E4E79"/>
          <w:lang w:bidi="ar-DZ"/>
          <w:rtl/>
        </w:rPr>
        <w:t xml:space="preserve">الباب الرابع. الانضباط</w:t>
      </w:r>
    </w:p>
    <w:p>
      <w:pPr>
        <w:bidi/>
        <w:spacing w:before="180" w:after="100"/>
      </w:pPr>
      <w:r>
        <w:rPr>
          <w:rFonts w:ascii="Arial" w:hAnsi="Arial" w:cs="Arial"/>
          <w:b/>
          <w:bCs/>
          <w:sz w:val="22"/>
          <w:szCs w:val="22"/>
          <w:color w:val="1E4E79"/>
          <w:lang w:bidi="ar-DZ"/>
          <w:rtl/>
        </w:rPr>
        <w:t xml:space="preserve">المادة 11. طبيعة الأخطاء المهنية</w:t>
      </w:r>
    </w:p>
    <w:p>
      <w:pPr>
        <w:bidi/>
        <w:spacing w:before="0" w:after="120"/>
      </w:pPr>
      <w:r>
        <w:rPr>
          <w:rFonts w:ascii="Arial" w:hAnsi="Arial" w:cs="Arial"/>
          <w:lang w:bidi="ar-DZ"/>
          <w:rtl/>
        </w:rPr>
        <w:t xml:space="preserve">تُشكل الإخلالات بالالتزامات المهنية أخطاءً مهنية. وتُصنف حسب الدرجات الآتية: </w:t>
      </w:r>
      <w:r>
        <w:rPr>
          <w:rFonts w:ascii="Arial" w:hAnsi="Arial" w:cs="Arial"/>
          <w:b/>
          <w:bCs/>
          <w:highlight w:val="yellow"/>
          <w:lang w:bidi="ar-DZ"/>
          <w:rtl/>
        </w:rPr>
        <w:t xml:space="preserve">[اكتبوا درجات الخطأ المعتمدة والسلوكات المقابلة لها]</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77، الفقرة الثانية: يحدد النظام الداخلي، في المجال التأديبي، طبيعة الأخطاء المهنية. وهذا التصنيف يعود إليكم، فلا نص مقروء يفرض واحداً.</w:t>
      </w:r>
    </w:p>
    <w:p>
      <w:pPr>
        <w:bidi/>
        <w:spacing w:before="180" w:after="100"/>
      </w:pPr>
      <w:r>
        <w:rPr>
          <w:rFonts w:ascii="Arial" w:hAnsi="Arial" w:cs="Arial"/>
          <w:b/>
          <w:bCs/>
          <w:sz w:val="22"/>
          <w:szCs w:val="22"/>
          <w:color w:val="1E4E79"/>
          <w:lang w:bidi="ar-DZ"/>
          <w:rtl/>
        </w:rPr>
        <w:t xml:space="preserve">المادة 12. درجات العقوبات</w:t>
      </w:r>
    </w:p>
    <w:p>
      <w:pPr>
        <w:bidi/>
        <w:spacing w:before="0" w:after="120"/>
      </w:pPr>
      <w:r>
        <w:rPr>
          <w:rFonts w:ascii="Arial" w:hAnsi="Arial" w:cs="Arial"/>
          <w:lang w:bidi="ar-DZ"/>
          <w:rtl/>
        </w:rPr>
        <w:t xml:space="preserve">تقابل درجات الخطأ أعلاه العقوبات الآتية: </w:t>
      </w:r>
      <w:r>
        <w:rPr>
          <w:rFonts w:ascii="Arial" w:hAnsi="Arial" w:cs="Arial"/>
          <w:b/>
          <w:bCs/>
          <w:highlight w:val="yellow"/>
          <w:lang w:bidi="ar-DZ"/>
          <w:rtl/>
        </w:rPr>
        <w:t xml:space="preserve">[اكتبوا سلم العقوبات المعتمد، من الأخف إلى الأثقل]</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77، الفقرة الثانية: يحدد النظام الداخلي درجات العقوبات المطابقة. ونحن لا نكتب أي سلم نيابةً عنكم عن قصد. تحققوا من كل درجة على ضوء المادة 78 والاتفاقية الجماعية لفرعكم.</w:t>
      </w:r>
    </w:p>
    <w:p>
      <w:pPr>
        <w:bidi/>
        <w:spacing w:before="180" w:after="100"/>
      </w:pPr>
      <w:r>
        <w:rPr>
          <w:rFonts w:ascii="Arial" w:hAnsi="Arial" w:cs="Arial"/>
          <w:b/>
          <w:bCs/>
          <w:sz w:val="22"/>
          <w:szCs w:val="22"/>
          <w:color w:val="1E4E79"/>
          <w:lang w:bidi="ar-DZ"/>
          <w:rtl/>
        </w:rPr>
        <w:t xml:space="preserve">المادة 13. الأخطاء الجسيمة</w:t>
      </w:r>
    </w:p>
    <w:p>
      <w:pPr>
        <w:bidi/>
        <w:spacing w:before="0" w:after="120"/>
      </w:pPr>
      <w:r>
        <w:rPr>
          <w:rFonts w:ascii="Arial" w:hAnsi="Arial" w:cs="Arial"/>
          <w:lang w:bidi="ar-DZ"/>
          <w:rtl/>
        </w:rPr>
        <w:t xml:space="preserve">علاوة على الأخطاء الجسيمة التي يعاقب عليها التشريع الجزائي والتي تُرتكب أثناء العمل، تُعتبر على الخصوص أخطاءً جسيمة يحتمل أن ينجر عنها التسريح بدون مهلة العطلة وبدون علاوات، الأفعال الآتية:</w:t>
      </w:r>
    </w:p>
    <w:p>
      <w:pPr>
        <w:bidi/>
        <w:numPr>
          <w:ilvl w:val="0"/>
          <w:numId w:val="1"/>
        </w:numPr>
        <w:spacing w:before="0" w:after="60"/>
      </w:pPr>
      <w:r>
        <w:rPr>
          <w:rFonts w:ascii="Arial" w:hAnsi="Arial" w:cs="Arial"/>
          <w:lang w:bidi="ar-DZ"/>
          <w:rtl/>
        </w:rPr>
        <w:t xml:space="preserve">إذا رفض العامل، بدون عذر مقبول، تنفيذ التعليمات المرتبطة بالتزاماته المهنية أو التي قد تلحق أضراراً بالمؤسسة، والصادرة من السلطة السلمية التي يعينها المستخدم أثناء الممارسة العادية لسلطاته؛</w:t>
      </w:r>
    </w:p>
    <w:p>
      <w:pPr>
        <w:bidi/>
        <w:numPr>
          <w:ilvl w:val="0"/>
          <w:numId w:val="1"/>
        </w:numPr>
        <w:spacing w:before="0" w:after="60"/>
      </w:pPr>
      <w:r>
        <w:rPr>
          <w:rFonts w:ascii="Arial" w:hAnsi="Arial" w:cs="Arial"/>
          <w:lang w:bidi="ar-DZ"/>
          <w:rtl/>
        </w:rPr>
        <w:t xml:space="preserve">إذا أفشى معلومات مهنية تتعلق بالتقنيات والتكنولوجيا وطرق الصنع والتنظيم أو وثائق داخلية للهيئة المستخدمة، إلا إذا أذنت السلطة السلمية بها أو أجازها القانون؛</w:t>
      </w:r>
    </w:p>
    <w:p>
      <w:pPr>
        <w:bidi/>
        <w:numPr>
          <w:ilvl w:val="0"/>
          <w:numId w:val="1"/>
        </w:numPr>
        <w:spacing w:before="0" w:after="60"/>
      </w:pPr>
      <w:r>
        <w:rPr>
          <w:rFonts w:ascii="Arial" w:hAnsi="Arial" w:cs="Arial"/>
          <w:lang w:bidi="ar-DZ"/>
          <w:rtl/>
        </w:rPr>
        <w:t xml:space="preserve">إذا شارك في توقف جماعي وتشاوري عن العمل خرقاً للأحكام التشريعية الجاري بها العمل في هذا المجال؛</w:t>
      </w:r>
    </w:p>
    <w:p>
      <w:pPr>
        <w:bidi/>
        <w:numPr>
          <w:ilvl w:val="0"/>
          <w:numId w:val="1"/>
        </w:numPr>
        <w:spacing w:before="0" w:after="60"/>
      </w:pPr>
      <w:r>
        <w:rPr>
          <w:rFonts w:ascii="Arial" w:hAnsi="Arial" w:cs="Arial"/>
          <w:lang w:bidi="ar-DZ"/>
          <w:rtl/>
        </w:rPr>
        <w:t xml:space="preserve">إذا قام بأعمال عنف؛</w:t>
      </w:r>
    </w:p>
    <w:p>
      <w:pPr>
        <w:bidi/>
        <w:numPr>
          <w:ilvl w:val="0"/>
          <w:numId w:val="1"/>
        </w:numPr>
        <w:spacing w:before="0" w:after="60"/>
      </w:pPr>
      <w:r>
        <w:rPr>
          <w:rFonts w:ascii="Arial" w:hAnsi="Arial" w:cs="Arial"/>
          <w:lang w:bidi="ar-DZ"/>
          <w:rtl/>
        </w:rPr>
        <w:t xml:space="preserve">إذا تسبب عمداً في أضرار مادية تصيب البنايات والمنشآت والآلات والأدوات والمواد الأولية والأشياء الأخرى التي لها علاقة بالعمل؛</w:t>
      </w:r>
    </w:p>
    <w:p>
      <w:pPr>
        <w:bidi/>
        <w:numPr>
          <w:ilvl w:val="0"/>
          <w:numId w:val="1"/>
        </w:numPr>
        <w:spacing w:before="0" w:after="60"/>
      </w:pPr>
      <w:r>
        <w:rPr>
          <w:rFonts w:ascii="Arial" w:hAnsi="Arial" w:cs="Arial"/>
          <w:lang w:bidi="ar-DZ"/>
          <w:rtl/>
        </w:rPr>
        <w:t xml:space="preserve">إذا رفض تنفيذ أمر التسخير الذي تم تبليغه وفقاً لأحكام التشريع المعمول به؛</w:t>
      </w:r>
    </w:p>
    <w:p>
      <w:pPr>
        <w:bidi/>
        <w:numPr>
          <w:ilvl w:val="0"/>
          <w:numId w:val="1"/>
        </w:numPr>
        <w:spacing w:before="0" w:after="60"/>
      </w:pPr>
      <w:r>
        <w:rPr>
          <w:rFonts w:ascii="Arial" w:hAnsi="Arial" w:cs="Arial"/>
          <w:lang w:bidi="ar-DZ"/>
          <w:rtl/>
        </w:rPr>
        <w:t xml:space="preserve">إذا تناول الكحول أو المخدرات داخل أماكن العمل.</w:t>
      </w:r>
    </w:p>
    <w:p>
      <w:pPr>
        <w:bidi/>
        <w:spacing w:before="0" w:after="100"/>
      </w:pPr>
      <w:r>
        <w:rPr>
          <w:rFonts w:ascii="Arial" w:hAnsi="Arial" w:cs="Arial"/>
          <w:i/>
          <w:iCs/>
          <w:sz w:val="16"/>
          <w:szCs w:val="16"/>
          <w:color w:val="5A6B7C"/>
          <w:lang w:bidi="ar-DZ"/>
          <w:rtl/>
        </w:rPr>
        <w:t xml:space="preserve">المادة 73 من القانون 90-11 في صيغتها التي أعطاها لها القانون 91-29 المؤرخ في 21 ديسمبر سنة 1991. وعبارة على الخصوص واردة في النص: فالقائمة ليست مغلقة. يمكنكم نقلها كما هي، ولا يمكنكم حذف عنصر منها مع الادعاء بأنكم تنقلون المادة.</w:t>
      </w:r>
    </w:p>
    <w:p>
      <w:pPr>
        <w:bidi/>
        <w:spacing w:before="180" w:after="100"/>
      </w:pPr>
      <w:r>
        <w:rPr>
          <w:rFonts w:ascii="Arial" w:hAnsi="Arial" w:cs="Arial"/>
          <w:b/>
          <w:bCs/>
          <w:sz w:val="22"/>
          <w:szCs w:val="22"/>
          <w:color w:val="1E4E79"/>
          <w:lang w:bidi="ar-DZ"/>
          <w:rtl/>
        </w:rPr>
        <w:t xml:space="preserve">المادة 14. تقدير الخطأ الجسيم</w:t>
      </w:r>
    </w:p>
    <w:p>
      <w:pPr>
        <w:bidi/>
        <w:spacing w:before="0" w:after="120"/>
      </w:pPr>
      <w:r>
        <w:rPr>
          <w:rFonts w:ascii="Arial" w:hAnsi="Arial" w:cs="Arial"/>
          <w:lang w:bidi="ar-DZ"/>
          <w:rtl/>
        </w:rPr>
        <w:t xml:space="preserve">يجب أن يراعي المستخدم، على الخصوص، عند تحديد ووصف الخطأ الجسيم الذي يرتكبه العامل، الظروف التي ارتكب فيها الخطأ ومدى اتساعه ودرجة خطورته والضرر الذي ألحقه، وكذلك السيرة التي كان يسلكها العامل حتى تاريخ ارتكابه الخطأ نحو عمله ونحو ممتلكات هيئته المستخدمة.</w:t>
      </w:r>
    </w:p>
    <w:p>
      <w:pPr>
        <w:bidi/>
        <w:spacing w:before="0" w:after="100"/>
      </w:pPr>
      <w:r>
        <w:rPr>
          <w:rFonts w:ascii="Arial" w:hAnsi="Arial" w:cs="Arial"/>
          <w:i/>
          <w:iCs/>
          <w:sz w:val="16"/>
          <w:szCs w:val="16"/>
          <w:color w:val="5A6B7C"/>
          <w:lang w:bidi="ar-DZ"/>
          <w:rtl/>
        </w:rPr>
        <w:t xml:space="preserve">المادة 73-1 من القانون 90-11، المدرجة بالقانون 91-29.</w:t>
      </w:r>
    </w:p>
    <w:p>
      <w:pPr>
        <w:bidi/>
        <w:spacing w:before="180" w:after="100"/>
      </w:pPr>
      <w:r>
        <w:rPr>
          <w:rFonts w:ascii="Arial" w:hAnsi="Arial" w:cs="Arial"/>
          <w:b/>
          <w:bCs/>
          <w:sz w:val="22"/>
          <w:szCs w:val="22"/>
          <w:color w:val="1E4E79"/>
          <w:lang w:bidi="ar-DZ"/>
          <w:rtl/>
        </w:rPr>
        <w:t xml:space="preserve">المادة 15. الإجراء التأديبي</w:t>
      </w:r>
    </w:p>
    <w:p>
      <w:pPr>
        <w:bidi/>
        <w:spacing w:before="0" w:after="120"/>
      </w:pPr>
      <w:r>
        <w:rPr>
          <w:rFonts w:ascii="Arial" w:hAnsi="Arial" w:cs="Arial"/>
          <w:lang w:bidi="ar-DZ"/>
          <w:rtl/>
        </w:rPr>
        <w:t xml:space="preserve">يُعلن التسريح التأديبي ضمن احترام الإجراء الآتي:</w:t>
      </w:r>
    </w:p>
    <w:p>
      <w:pPr>
        <w:bidi/>
        <w:numPr>
          <w:ilvl w:val="0"/>
          <w:numId w:val="2"/>
        </w:numPr>
        <w:spacing w:before="0" w:after="60"/>
      </w:pPr>
      <w:r>
        <w:rPr>
          <w:rFonts w:ascii="Arial" w:hAnsi="Arial" w:cs="Arial"/>
          <w:lang w:bidi="ar-DZ"/>
          <w:rtl/>
        </w:rPr>
        <w:t xml:space="preserve">استدعاء كتابي للعامل المعني إلى جلسة استماع، يُسلَّم مقابل وصل أو يُرسَل بأي وسيلة تترك أثراً، مع بيان موضوع الاستدعاء وتاريخ الاستماع.</w:t>
      </w:r>
    </w:p>
    <w:p>
      <w:pPr>
        <w:bidi/>
        <w:numPr>
          <w:ilvl w:val="0"/>
          <w:numId w:val="2"/>
        </w:numPr>
        <w:spacing w:before="0" w:after="60"/>
      </w:pPr>
      <w:r>
        <w:rPr>
          <w:rFonts w:ascii="Arial" w:hAnsi="Arial" w:cs="Arial"/>
          <w:lang w:bidi="ar-DZ"/>
          <w:rtl/>
        </w:rPr>
        <w:t xml:space="preserve">استماع المستخدم للعامل. ويمكن للعامل في هذه الحالة أن يختار عاملاً تابعاً للهيئة المستخدمة ليصطحبه.</w:t>
      </w:r>
    </w:p>
    <w:p>
      <w:pPr>
        <w:bidi/>
        <w:numPr>
          <w:ilvl w:val="0"/>
          <w:numId w:val="2"/>
        </w:numPr>
        <w:spacing w:before="0" w:after="60"/>
      </w:pPr>
      <w:r>
        <w:rPr>
          <w:rFonts w:ascii="Arial" w:hAnsi="Arial" w:cs="Arial"/>
          <w:lang w:bidi="ar-DZ"/>
          <w:rtl/>
        </w:rPr>
        <w:t xml:space="preserve">التبليغ الكتابي لقرار التسريح إلى العامل المعني.</w:t>
      </w:r>
    </w:p>
    <w:p>
      <w:pPr>
        <w:bidi/>
        <w:spacing w:before="0" w:after="120"/>
      </w:pPr>
      <w:r>
        <w:rPr>
          <w:rFonts w:ascii="Arial" w:hAnsi="Arial" w:cs="Arial"/>
          <w:lang w:bidi="ar-DZ"/>
          <w:rtl/>
        </w:rPr>
        <w:t xml:space="preserve">أما العقوبات الأخرى فتُعلن وفق الكيفيات الآتية: </w:t>
      </w:r>
      <w:r>
        <w:rPr>
          <w:rFonts w:ascii="Arial" w:hAnsi="Arial" w:cs="Arial"/>
          <w:b/>
          <w:bCs/>
          <w:highlight w:val="yellow"/>
          <w:lang w:bidi="ar-DZ"/>
          <w:rtl/>
        </w:rPr>
        <w:t xml:space="preserve">[اكتبوا الإجراء المطبق على العقوبات غير التسريح]</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73-2 من القانون 90-11، المدرجة بالقانون 91-29. والنقطتان 2 و3 ليستا اختياريتين: فالنص يكتب أن الإجراءات المحددة في النظام الداخلي يجب أن تنص على التبليغ الكتابي لقرار التسريح واستماع المستخدم للعامل المعني الذي يمكنه أن يختار عاملاً تابعاً للهيئة المستخدمة ليصطحبه. وللتذكير بالمادة 73-3: كل تسريح فردي يتم خرقاً لأحكام القانون يعتبر تعسفياً وعلى المستخدم أن يثبت العكس.</w:t>
      </w:r>
    </w:p>
    <w:p>
      <w:r>
        <w:br w:type="page"/>
      </w:r>
    </w:p>
    <w:p>
      <w:pPr>
        <w:bidi/>
        <w:spacing w:before="260" w:after="120"/>
      </w:pPr>
      <w:r>
        <w:rPr>
          <w:rFonts w:ascii="Arial" w:hAnsi="Arial" w:cs="Arial"/>
          <w:b/>
          <w:bCs/>
          <w:sz w:val="26"/>
          <w:szCs w:val="26"/>
          <w:color w:val="1E4E79"/>
          <w:lang w:bidi="ar-DZ"/>
          <w:rtl/>
        </w:rPr>
        <w:t xml:space="preserve">الباب الخامس. الاعتماد والإيداع والإشهار</w:t>
      </w:r>
    </w:p>
    <w:p>
      <w:pPr>
        <w:bidi/>
        <w:spacing w:before="180" w:after="100"/>
      </w:pPr>
      <w:r>
        <w:rPr>
          <w:rFonts w:ascii="Arial" w:hAnsi="Arial" w:cs="Arial"/>
          <w:b/>
          <w:bCs/>
          <w:sz w:val="22"/>
          <w:szCs w:val="22"/>
          <w:color w:val="1E4E79"/>
          <w:lang w:bidi="ar-DZ"/>
          <w:rtl/>
        </w:rPr>
        <w:t xml:space="preserve">المادة 16. إبداء الرأي المسبق</w:t>
      </w:r>
    </w:p>
    <w:p>
      <w:pPr>
        <w:bidi/>
        <w:spacing w:before="0" w:after="120"/>
      </w:pPr>
      <w:r>
        <w:rPr>
          <w:rFonts w:ascii="Arial" w:hAnsi="Arial" w:cs="Arial"/>
          <w:lang w:bidi="ar-DZ"/>
          <w:rtl/>
        </w:rPr>
        <w:t xml:space="preserve">عُرض هذا النظام الداخلي لإبداء الرأي على أجهزة المشاركة، أو على ممثلي العمال في حالة عدم وجودها، بتاريخ </w:t>
      </w:r>
      <w:r>
        <w:rPr>
          <w:rFonts w:ascii="Arial" w:hAnsi="Arial" w:cs="Arial"/>
          <w:b/>
          <w:bCs/>
          <w:highlight w:val="yellow"/>
          <w:lang w:bidi="ar-DZ"/>
          <w:rtl/>
        </w:rPr>
        <w:t xml:space="preserve">[تاريخ العرض لإبداء الرأي]</w:t>
      </w:r>
      <w:r>
        <w:rPr>
          <w:rFonts w:ascii="Arial" w:hAnsi="Arial" w:cs="Arial"/>
          <w:lang w:bidi="ar-DZ"/>
          <w:rtl/>
        </w:rPr>
        <w:t xml:space="preserve">. وأُبدي الرأي بتاريخ </w:t>
      </w:r>
      <w:r>
        <w:rPr>
          <w:rFonts w:ascii="Arial" w:hAnsi="Arial" w:cs="Arial"/>
          <w:b/>
          <w:bCs/>
          <w:highlight w:val="yellow"/>
          <w:lang w:bidi="ar-DZ"/>
          <w:rtl/>
        </w:rPr>
        <w:t xml:space="preserve">[تاريخ الرأي]</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75 من القانون 90-11 بالنسبة للعرض. والمادة 94 بالنسبة للأجل: يجب الإدلاء بالآراء في أجل أقصاه خمسة عشر (15) يوماً بعد تقديم المستخدم لعرض الأسباب. وتضيف المادة نفسها أنه في حالة الخلاف حول النظام الداخلي يتم إخطار مفتش العمل وجوباً.</w:t>
      </w:r>
    </w:p>
    <w:p>
      <w:pPr>
        <w:bidi/>
        <w:spacing w:before="180" w:after="100"/>
      </w:pPr>
      <w:r>
        <w:rPr>
          <w:rFonts w:ascii="Arial" w:hAnsi="Arial" w:cs="Arial"/>
          <w:b/>
          <w:bCs/>
          <w:sz w:val="22"/>
          <w:szCs w:val="22"/>
          <w:color w:val="1E4E79"/>
          <w:lang w:bidi="ar-DZ"/>
          <w:rtl/>
        </w:rPr>
        <w:t xml:space="preserve">المادة 17. الإيداع</w:t>
      </w:r>
    </w:p>
    <w:p>
      <w:pPr>
        <w:bidi/>
        <w:spacing w:before="0" w:after="120"/>
      </w:pPr>
      <w:r>
        <w:rPr>
          <w:rFonts w:ascii="Arial" w:hAnsi="Arial" w:cs="Arial"/>
          <w:lang w:bidi="ar-DZ"/>
          <w:rtl/>
        </w:rPr>
        <w:t xml:space="preserve">يُودع هذا النظام الداخلي لدى مفتشية العمل المختصة إقليمياً لـ </w:t>
      </w:r>
      <w:r>
        <w:rPr>
          <w:rFonts w:ascii="Arial" w:hAnsi="Arial" w:cs="Arial"/>
          <w:b/>
          <w:bCs/>
          <w:highlight w:val="yellow"/>
          <w:lang w:bidi="ar-DZ"/>
          <w:rtl/>
        </w:rPr>
        <w:t xml:space="preserve">[الولاية أو الدائرة]</w:t>
      </w:r>
      <w:r>
        <w:rPr>
          <w:rFonts w:ascii="Arial" w:hAnsi="Arial" w:cs="Arial"/>
          <w:lang w:bidi="ar-DZ"/>
          <w:rtl/>
        </w:rPr>
        <w:t xml:space="preserve">، للمصادقة على مطابقته للتشريع والتنظيم المتعلقين بالعمل.</w:t>
      </w:r>
    </w:p>
    <w:p>
      <w:pPr>
        <w:bidi/>
        <w:spacing w:before="0" w:after="100"/>
      </w:pPr>
      <w:r>
        <w:rPr>
          <w:rFonts w:ascii="Arial" w:hAnsi="Arial" w:cs="Arial"/>
          <w:i/>
          <w:iCs/>
          <w:sz w:val="16"/>
          <w:szCs w:val="16"/>
          <w:color w:val="5A6B7C"/>
          <w:lang w:bidi="ar-DZ"/>
          <w:rtl/>
        </w:rPr>
        <w:t xml:space="preserve">المادة 79، الفقرة الأولى: يتم الإيداع في أجل ثمانية (08) أيام.</w:t>
      </w:r>
    </w:p>
    <w:p>
      <w:pPr>
        <w:bidi/>
        <w:spacing w:before="180" w:after="100"/>
      </w:pPr>
      <w:r>
        <w:rPr>
          <w:rFonts w:ascii="Arial" w:hAnsi="Arial" w:cs="Arial"/>
          <w:b/>
          <w:bCs/>
          <w:sz w:val="22"/>
          <w:szCs w:val="22"/>
          <w:color w:val="1E4E79"/>
          <w:lang w:bidi="ar-DZ"/>
          <w:rtl/>
        </w:rPr>
        <w:t xml:space="preserve">المادة 18. سريان المفعول</w:t>
      </w:r>
    </w:p>
    <w:p>
      <w:pPr>
        <w:bidi/>
        <w:spacing w:before="0" w:after="120"/>
      </w:pPr>
      <w:r>
        <w:rPr>
          <w:rFonts w:ascii="Arial" w:hAnsi="Arial" w:cs="Arial"/>
          <w:lang w:bidi="ar-DZ"/>
          <w:rtl/>
        </w:rPr>
        <w:t xml:space="preserve">يسري مفعول هذا النظام الداخلي فور إيداعه لدى كتابة الضبط المختصة إقليمياً.</w:t>
      </w:r>
    </w:p>
    <w:p>
      <w:pPr>
        <w:bidi/>
        <w:spacing w:before="0" w:after="100"/>
      </w:pPr>
      <w:r>
        <w:rPr>
          <w:rFonts w:ascii="Arial" w:hAnsi="Arial" w:cs="Arial"/>
          <w:i/>
          <w:iCs/>
          <w:sz w:val="16"/>
          <w:szCs w:val="16"/>
          <w:color w:val="5A6B7C"/>
          <w:lang w:bidi="ar-DZ"/>
          <w:rtl/>
        </w:rPr>
        <w:t xml:space="preserve">المادة 79، الفقرة الثانية. ولا تُسمي طبعتا الجريدة الرسمية عدد 17 لسنة 1990 الجهة نفسها: فالطبعة العربية تكتب كتابة الضبط للمحكمة المختصة إقليمياً، والطبعة الفرنسية تكتب كتابة ضبط العمل المختصة إقليمياً. ونحن نذكر الصيغتين ولا نحسم. اسألوا مفتشية العمل بولايتكم أين تنتظر الإيداع وأتمّوا البند تبعاً لذلك.</w:t>
      </w:r>
    </w:p>
    <w:p>
      <w:pPr>
        <w:bidi/>
        <w:spacing w:before="180" w:after="100"/>
      </w:pPr>
      <w:r>
        <w:rPr>
          <w:rFonts w:ascii="Arial" w:hAnsi="Arial" w:cs="Arial"/>
          <w:b/>
          <w:bCs/>
          <w:sz w:val="22"/>
          <w:szCs w:val="22"/>
          <w:color w:val="1E4E79"/>
          <w:lang w:bidi="ar-DZ"/>
          <w:rtl/>
        </w:rPr>
        <w:t xml:space="preserve">المادة 19. الإشهار</w:t>
      </w:r>
    </w:p>
    <w:p>
      <w:pPr>
        <w:bidi/>
        <w:spacing w:before="0" w:after="120"/>
      </w:pPr>
      <w:r>
        <w:rPr>
          <w:rFonts w:ascii="Arial" w:hAnsi="Arial" w:cs="Arial"/>
          <w:lang w:bidi="ar-DZ"/>
          <w:rtl/>
        </w:rPr>
        <w:t xml:space="preserve">يضمن المستخدم لهذا النظام الداخلي إشهاراً واسعاً في أوساط العمال المعنيين، بالوسائل الآتية: </w:t>
      </w:r>
      <w:r>
        <w:rPr>
          <w:rFonts w:ascii="Arial" w:hAnsi="Arial" w:cs="Arial"/>
          <w:b/>
          <w:bCs/>
          <w:highlight w:val="yellow"/>
          <w:lang w:bidi="ar-DZ"/>
          <w:rtl/>
        </w:rPr>
        <w:t xml:space="preserve">[التعليق، التسليم الفردي، أي وسيلة أخرى معتمدة]</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المادة 79، الفقرة الثالثة. فنظام داخلي محفوظ في درج بالإدارة لا يستوفي هذا الشرط.</w:t>
      </w:r>
    </w:p>
    <w:p>
      <w:pPr>
        <w:bidi/>
        <w:spacing w:before="180" w:after="100"/>
      </w:pPr>
      <w:r>
        <w:rPr>
          <w:rFonts w:ascii="Arial" w:hAnsi="Arial" w:cs="Arial"/>
          <w:b/>
          <w:bCs/>
          <w:sz w:val="22"/>
          <w:szCs w:val="22"/>
          <w:color w:val="1E4E79"/>
          <w:lang w:bidi="ar-DZ"/>
          <w:rtl/>
        </w:rPr>
        <w:t xml:space="preserve">المادة 20. التعديل</w:t>
      </w:r>
    </w:p>
    <w:p>
      <w:pPr>
        <w:bidi/>
        <w:spacing w:before="0" w:after="120"/>
      </w:pPr>
      <w:r>
        <w:rPr>
          <w:rFonts w:ascii="Arial" w:hAnsi="Arial" w:cs="Arial"/>
          <w:lang w:bidi="ar-DZ"/>
          <w:rtl/>
        </w:rPr>
        <w:t xml:space="preserve">يتبع كل تعديل لهذا النظام الداخلي الإجراء نفسه المتبع في اعتماده: إبداء الرأي المسبق والإيداع والإشهار.</w:t>
      </w:r>
    </w:p>
    <w:p>
      <w:pPr>
        <w:bidi/>
        <w:spacing w:before="0" w:after="100"/>
      </w:pPr>
      <w:r>
        <w:rPr>
          <w:rFonts w:ascii="Arial" w:hAnsi="Arial" w:cs="Arial"/>
          <w:i/>
          <w:iCs/>
          <w:sz w:val="16"/>
          <w:szCs w:val="16"/>
          <w:color w:val="5A6B7C"/>
          <w:lang w:bidi="ar-DZ"/>
          <w:rtl/>
        </w:rPr>
        <w:t xml:space="preserve">بند عُرفي. فلا نص من النصوص المقروءة ينظم صراحةً تعديل النظام الداخلي؛ ويُسوّي البند التعديل بالاعتماد بدل ترك المسألة مفتوحة.</w:t>
      </w:r>
    </w:p>
    <w:p>
      <w:pPr>
        <w:bidi/>
        <w:spacing w:before="0" w:after="60"/>
      </w:pP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[تاريخ الإعداد]</w:t>
      </w:r>
      <w:r>
        <w:rPr>
          <w:rFonts w:ascii="Arial" w:hAnsi="Arial" w:cs="Arial"/>
          <w:lang w:bidi="ar-DZ"/>
          <w:rtl/>
        </w:rPr>
        <w:t xml:space="preserve">.</w:t>
      </w:r>
    </w:p>
    <w:p>
      <w:pPr>
        <w:bidi/>
        <w:jc w:val="center"/>
        <w:spacing w:before="320" w:after="480"/>
      </w:pPr>
      <w:r>
        <w:rPr>
          <w:rFonts w:ascii="Arial" w:hAnsi="Arial" w:cs="Arial"/>
          <w:b/>
          <w:bCs/>
          <w:lang w:bidi="ar-DZ"/>
          <w:rtl/>
        </w:rPr>
        <w:t xml:space="preserve">عن الهيئة المستخدمة</w:t>
      </w:r>
      <w:r>
        <w:rPr>
          <w:rFonts w:ascii="Arial" w:hAnsi="Arial" w:cs="Arial"/>
          <w:lang w:bidi="ar-DZ"/>
          <w:rtl/>
        </w:rPr>
        <w:t xml:space="preserve">      </w:t>
      </w:r>
      <w:r>
        <w:rPr>
          <w:rFonts w:ascii="Arial" w:hAnsi="Arial" w:cs="Arial"/>
          <w:b/>
          <w:bCs/>
          <w:lang w:bidi="ar-DZ"/>
          <w:rtl/>
        </w:rPr>
        <w:t xml:space="preserve">تأشيرة مفتشية العمل</w:t>
      </w:r>
    </w:p>
    <w:p>
      <w:r>
        <w:br w:type="page"/>
      </w:r>
    </w:p>
    <w:p>
      <w:pPr>
        <w:bidi/>
        <w:spacing w:before="260" w:after="120"/>
      </w:pPr>
      <w:r>
        <w:rPr>
          <w:rFonts w:ascii="Arial" w:hAnsi="Arial" w:cs="Arial"/>
          <w:b/>
          <w:bCs/>
          <w:sz w:val="26"/>
          <w:szCs w:val="26"/>
          <w:color w:val="1E4E79"/>
          <w:lang w:bidi="ar-DZ"/>
          <w:rtl/>
        </w:rPr>
        <w:t xml:space="preserve">المراجع القانونية المذكورة في هذا النموذج</w:t>
      </w:r>
    </w:p>
    <w:p>
      <w:pPr>
        <w:bidi/>
        <w:numPr>
          <w:ilvl w:val="0"/>
          <w:numId w:val="1"/>
        </w:numPr>
        <w:spacing w:before="0" w:after="60"/>
      </w:pPr>
      <w:r>
        <w:rPr>
          <w:rFonts w:ascii="Arial" w:hAnsi="Arial" w:cs="Arial"/>
          <w:lang w:bidi="ar-DZ"/>
          <w:rtl/>
        </w:rPr>
        <w:t xml:space="preserve">القانون رقم 90-11 المؤرخ في 21 أبريل سنة 1990 المتعلق بعلاقات العمل، الجريدة الرسمية عدد 17 المؤرخة في 25 أبريل سنة 1990. المادتان 75 و76 لعتبة العشرين عاملاً، والمادة 77 للمضمون الإلزامي، والمادة 78 لبطلان البنود المقيدة للحقوق، والمادة 79 للإيداع وسريان المفعول والإشهار، والمادة 94 لأجل إبداء الرأي ولإخطار مفتش العمل عند الخلاف، والمادة 54 للأحداث العائلية.</w:t>
      </w:r>
    </w:p>
    <w:p>
      <w:pPr>
        <w:bidi/>
        <w:numPr>
          <w:ilvl w:val="0"/>
          <w:numId w:val="1"/>
        </w:numPr>
        <w:spacing w:before="0" w:after="60"/>
      </w:pPr>
      <w:r>
        <w:rPr>
          <w:rFonts w:ascii="Arial" w:hAnsi="Arial" w:cs="Arial"/>
          <w:lang w:bidi="ar-DZ"/>
          <w:rtl/>
        </w:rPr>
        <w:t xml:space="preserve">القانون رقم 91-29 المؤرخ في 21 ديسمبر سنة 1991 المعدل والمتمم للقانون 90-11، الجريدة الرسمية عدد 68 المؤرخة في 25 ديسمبر سنة 1991. المادة 73 للأخطاء الجسيمة، والمادة 73-1 لتقدير الخطأ، والمادة 73-2 للإجراء التأديبي، والمادة 73-3 لقرينة التسريح التعسفي.</w:t>
      </w:r>
    </w:p>
    <w:p>
      <w:pPr>
        <w:bidi/>
        <w:numPr>
          <w:ilvl w:val="0"/>
          <w:numId w:val="1"/>
        </w:numPr>
        <w:spacing w:before="0" w:after="60"/>
      </w:pPr>
      <w:r>
        <w:rPr>
          <w:rFonts w:ascii="Arial" w:hAnsi="Arial" w:cs="Arial"/>
          <w:lang w:bidi="ar-DZ"/>
          <w:rtl/>
        </w:rPr>
        <w:t xml:space="preserve">الأمر رقم 97-03 المؤرخ في 11 يناير سنة 1997 الذي يحدد المدة القانونية للعمل، الجريدة الرسمية عدد 3 المؤرخة في 12 يناير سنة 1997. المادة 2 للأربعين ساعة، والمادة 6 لفترة الراحة، والمادة 7 للسعة اليومية، والمادة 8 لإلغاء المواد من 22 إلى 26 من القانون 90-11.</w:t>
      </w:r>
    </w:p>
    <w:p>
      <w:pPr>
        <w:bidi/>
        <w:spacing w:before="0" w:after="100"/>
      </w:pPr>
      <w:r>
        <w:rPr>
          <w:rFonts w:ascii="Arial" w:hAnsi="Arial" w:cs="Arial"/>
          <w:i/>
          <w:iCs/>
          <w:sz w:val="16"/>
          <w:szCs w:val="16"/>
          <w:color w:val="5A6B7C"/>
          <w:lang w:bidi="ar-DZ"/>
          <w:rtl/>
        </w:rPr>
        <w:t xml:space="preserve">قُرئ كل نص من هذه النصوص على الصورة المرقمنة لصفحة الجريدة الرسمية، لا على النص المستخرج آلياً: فالأعداد السابقة لسنة 2002 صور ممسوحة لا تُستخرج منها أي حروف. وتفصيل التحقق منشور على upgrowth.dz/ar/modele-reglement-interieur-algerie.</w:t>
      </w:r>
    </w:p>
    <w:sectPr>
      <w:bidi/>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bidi/>
    </w:pPr>
    <w:r>
      <w:rPr>
        <w:sz w:val="15"/>
        <w:color w:val="5A6B7C"/>
        <w:rFonts w:ascii="Arial" w:hAnsi="Arial" w:cs="Arial"/>
        <w:rtl/>
      </w:rPr>
      <w:t xml:space="preserve">نموذج إعلامي مجاني من UpGrowth (upgrowth.dz). لا يُشكل استشارة قانونية. يُقرأ مع الاتفاقية الجماعية للفرع ومع النظام الداخلي للمؤسسة.</w:t>
    </w:r>
  </w:p>
</w:ftr>
</file>

<file path=word/numbering.xml><?xml version="1.0" encoding="utf-8"?>
<w:numbering xmlns:w="http://schemas.openxmlformats.org/wordprocessingml/2006/main">
  <w:abstractNum w:abstractNumId="0">
    <w:multiLevelType w:val="hybridMultilevel"/>
    <w:lvl w:ilvl="0">
      <w:start w:val="1"/>
      <w:numFmt w:val="bullet"/>
      <w:lvlText w:val=""/>
      <w:lvlJc w:val="right"/>
      <w:pPr>
        <w:bidi/>
        <w:ind w:right="720" w:hanging="360"/>
      </w:pPr>
      <w:rPr>
        <w:rFonts w:ascii="Symbol" w:hAnsi="Symbol" w:hint="default"/>
      </w:rPr>
    </w:lvl>
  </w:abstractNum>
  <w:abstractNum w:abstractNumId="1">
    <w:multiLevelType w:val="hybridMultilevel"/>
    <w:lvl w:ilvl="0">
      <w:start w:val="1"/>
      <w:numFmt w:val="decimal"/>
      <w:lvlText w:val="%1."/>
      <w:lvlJc w:val="right"/>
      <w:pPr>
        <w:bidi/>
        <w:ind w:righ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Arial" w:hAnsi="Arial" w:cs="Arial"/>
        <w:sz w:val="22"/>
        <w:szCs w:val="22"/>
        <w:lang w:val="fr-FR" w:bidi="ar-DZ"/>
        <w:rtl/>
      </w:rPr>
    </w:rPrDefault>
    <w:pPrDefault>
      <w:pPr>
        <w:bidi/>
        <w:spacing w:after="120" w:line="276" w:lineRule="auto"/>
        <w:jc w:val="both"/>
      </w:pPr>
    </w:pPrDefault>
  </w:docDefaults>
  <w:style w:type="paragraph" w:default="1" w:styleId="Normal">
    <w:name w:val="Normal"/>
    <w:qFormat/>
  </w:style>
  <w:style w:type="paragraph" w:styleId="Footer">
    <w:name w:val="footer"/>
    <w:pPr>
      <w:bidi/>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النظام الداخلي للمؤسسة، القانون الجزائري</dc:title>
  <dc:subject>نموذج إعلامي للنظام الداخلي، كل باب مستند إلى مادته من القانون 90-11: المضمون الإلزامي في المادة 77، وحد المادة 78، ومسار إبداء الرأي والإيداع في المواد 75 و94 و79.</dc:subject>
  <dc:creator>UpGrowth (upgrowth.dz)</dc:creator>
  <cp:keywords>النظام الداخلي، القانون 90-11، المادة 75، المادة 77، المادة 79، الجزائر، نموذج</cp:keywords>
  <cp:lastModifiedBy>UpGrowth</cp:lastModifiedBy>
  <dcterms:created xsi:type="dcterms:W3CDTF">2026-07-30T00:00:00Z</dcterms:created>
  <dcterms:modified xsi:type="dcterms:W3CDTF">2026-07-30T00:00:00Z</dcterms:modified>
  <dc:language>ar-DZ</dc:language>
</cp:coreProperties>
</file>