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0" w:after="160"/>
      </w:pPr>
      <w:r>
        <w:rPr>
          <w:rFonts w:ascii="Arial" w:hAnsi="Arial" w:cs="Arial"/>
          <w:b/>
          <w:bCs/>
          <w:sz w:val="36"/>
          <w:szCs w:val="36"/>
          <w:color w:val="0B2E4F"/>
          <w:lang w:bidi="ar-DZ"/>
          <w:rtl/>
        </w:rPr>
        <w:t xml:space="preserve">وصل إيجار</w:t>
      </w:r>
    </w:p>
    <w:p>
      <w:pPr>
        <w:bidi/>
        <w:jc w:val="center"/>
        <w:spacing w:before="0" w:after="240"/>
      </w:pPr>
      <w:r>
        <w:rPr>
          <w:rFonts w:ascii="Arial" w:hAnsi="Arial" w:cs="Arial"/>
          <w:i/>
          <w:iCs/>
          <w:sz w:val="22"/>
          <w:szCs w:val="22"/>
          <w:color w:val="44607A"/>
          <w:lang w:bidi="ar-DZ"/>
          <w:rtl/>
        </w:rPr>
        <w:t xml:space="preserve">إثبات دفع إيجار، نموذج إعلامي، الجزائر</w:t>
      </w:r>
    </w:p>
    <w:p>
      <w:pPr>
        <w:bidi/>
        <w:spacing w:before="160" w:after="160"/>
        <w:pBdr>
          <w:top w:val="single" w:sz="6" w:space="6" w:color="1E4E79"/>
          <w:left w:val="single" w:sz="6" w:space="6" w:color="1E4E79"/>
          <w:bottom w:val="single" w:sz="6" w:space="6" w:color="1E4E79"/>
          <w:right w:val="single" w:sz="6" w:space="6" w:color="1E4E79"/>
        </w:pBdr>
        <w:shd w:val="clear" w:color="auto" w:fill="EAF1F8"/>
      </w:pPr>
      <w:r>
        <w:rPr>
          <w:rFonts w:ascii="Arial" w:hAnsi="Arial" w:cs="Arial"/>
          <w:b/>
          <w:bCs/>
          <w:color w:val="0B2E4F"/>
          <w:lang w:bidi="ar-DZ"/>
          <w:rtl/>
        </w:rPr>
        <w:t xml:space="preserve">وصل الإيجار هو الإثبات الذي يسلمه المؤجِّر للمستأجِر حين يدفع. ولا يخص إلا الفترة والمبالغ التي يذكرها. وفي المحل التجاري لا يحل أبداً محل عقد الإيجار: فالمادة 187 مكرر من القانون التجاري، المدرجة بالقانون 05-02 المؤرخ في 6 فبراير سنة 2005، تفرض أن يُحرر كل عقد إيجار تجاري مبرم منذ ذلك التاريخ في الشكل الرسمي، تحت طائلة البطلان.</w:t>
      </w:r>
    </w:p>
    <w:p>
      <w:pPr>
        <w:bidi/>
        <w:spacing w:before="260" w:after="120"/>
      </w:pPr>
      <w:r>
        <w:rPr>
          <w:rFonts w:ascii="Arial" w:hAnsi="Arial" w:cs="Arial"/>
          <w:b/>
          <w:bCs/>
          <w:sz w:val="26"/>
          <w:szCs w:val="26"/>
          <w:color w:val="1E4E79"/>
          <w:lang w:bidi="ar-DZ"/>
          <w:rtl/>
        </w:rPr>
        <w:t xml:space="preserve">قبل الملء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انقلوا مبلغ الإيجار والأعباء من عقد الإيجار، لا من الذاكرة. وافصلوا الإيجار عن الأعباء حين يميّز العقد بينهما.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حرّروا وصلاً عند كل دفعة. وإن كان الدفع جزئياً فسمّوا الوثيقة وصل تسبيق وبيّنوا الباقي المستحق: فالوصل يقول إن كل شيء قد دُفع.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اذكروا وسيلة الدفع: نقداً أو تحويلاً أو شيكاً. والشيك يُقبل مع التحفظ على تحصيله، والنموذج يقول ذلك.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اكتبوا الفترة بدقة، بتاريخ بداية وتاريخ نهاية. فالوصل بلا فترة يفتح الباب لكل منازعة.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اطلبوا توقيع المؤجِّر واحتفظوا بنسخة لكل طرف: يحتفظ المستأجِر بالوصل ويحتفظ المؤجِّر بنظيره.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بالنسبة لعقد إيجار تجاري، يُعد العقد نفسه مع الموثق: انظروا upgrowth.dz/ar/modele-bail-commercial-algerie.</w:t>
      </w:r>
    </w:p>
    <w:p>
      <w:r>
        <w:br w:type="page"/>
      </w:r>
    </w:p>
    <w:p>
      <w:pPr>
        <w:bidi/>
        <w:jc w:val="center"/>
        <w:spacing w:before="0" w:after="160"/>
      </w:pPr>
      <w:r>
        <w:rPr>
          <w:rFonts w:ascii="Arial" w:hAnsi="Arial" w:cs="Arial"/>
          <w:b/>
          <w:bCs/>
          <w:sz w:val="36"/>
          <w:szCs w:val="36"/>
          <w:color w:val="0B2E4F"/>
          <w:lang w:bidi="ar-DZ"/>
          <w:rtl/>
        </w:rPr>
        <w:t xml:space="preserve">وصل إيجار</w:t>
      </w:r>
    </w:p>
    <w:p>
      <w:pPr>
        <w:bidi/>
        <w:jc w:val="center"/>
        <w:spacing w:before="0" w:after="120"/>
      </w:pPr>
      <w:r>
        <w:rPr>
          <w:rFonts w:ascii="Arial" w:hAnsi="Arial" w:cs="Arial"/>
          <w:lang w:bidi="ar-DZ"/>
          <w:rtl/>
        </w:rPr>
        <w:t xml:space="preserve">الرقم: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الوصل]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أنا الموقع أدناه،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[الاسم واللقب أو التسمية الاجتماعية للمؤجر]</w:t>
      </w:r>
      <w:r>
        <w:rPr>
          <w:rFonts w:ascii="Arial" w:hAnsi="Arial" w:cs="Arial"/>
          <w:lang w:bidi="ar-DZ"/>
          <w:rtl/>
        </w:rPr>
        <w:t xml:space="preserve">، الساكن أو الكائن مقره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[عنوان المؤجر]</w:t>
      </w:r>
      <w:r>
        <w:rPr>
          <w:rFonts w:ascii="Arial" w:hAnsi="Arial" w:cs="Arial"/>
          <w:lang w:bidi="ar-DZ"/>
          <w:rtl/>
        </w:rPr>
        <w:t xml:space="preserve">، حامل بطاقة الهوية رقم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بطاقة هوية المؤجر]</w:t>
      </w:r>
      <w:r>
        <w:rPr>
          <w:rFonts w:ascii="Arial" w:hAnsi="Arial" w:cs="Arial"/>
          <w:lang w:bidi="ar-DZ"/>
          <w:rtl/>
        </w:rPr>
        <w:t xml:space="preserve">، رقم التعريف الجبائي للمؤجر، عند الاقتضاء: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التعريف الجبائي للمؤجر]</w:t>
      </w:r>
      <w:r>
        <w:rPr>
          <w:rFonts w:ascii="Arial" w:hAnsi="Arial" w:cs="Arial"/>
          <w:lang w:bidi="ar-DZ"/>
          <w:rtl/>
        </w:rPr>
        <w:t xml:space="preserve">، مالك المحل المبين أدناه أو مؤجّره، أُقر بأنني استلمت من:</w:t>
      </w:r>
    </w:p>
    <w:p>
      <w:pPr>
        <w:bidi/>
        <w:spacing w:before="0" w:after="12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[الاسم واللقب أو التسمية الاجتماعية للمستأجر]</w:t>
      </w:r>
      <w:r>
        <w:rPr>
          <w:rFonts w:ascii="Arial" w:hAnsi="Arial" w:cs="Arial"/>
          <w:lang w:bidi="ar-DZ"/>
          <w:rtl/>
        </w:rPr>
        <w:t xml:space="preserve">، الساكن أو الكائن مقره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[عنوان المستأجر]</w:t>
      </w:r>
      <w:r>
        <w:rPr>
          <w:rFonts w:ascii="Arial" w:hAnsi="Arial" w:cs="Arial"/>
          <w:lang w:bidi="ar-DZ"/>
          <w:rtl/>
        </w:rPr>
        <w:t xml:space="preserve">،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مبلغ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[المبلغ الإجمالي المستلم]</w:t>
      </w:r>
      <w:r>
        <w:rPr>
          <w:rFonts w:ascii="Arial" w:hAnsi="Arial" w:cs="Arial"/>
          <w:lang w:bidi="ar-DZ"/>
          <w:rtl/>
        </w:rPr>
        <w:t xml:space="preserve"> دينار جزائري، أي كتابةً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[المبلغ الإجمالي المستلم كتابةً]</w:t>
      </w:r>
      <w:r>
        <w:rPr>
          <w:rFonts w:ascii="Arial" w:hAnsi="Arial" w:cs="Arial"/>
          <w:lang w:bidi="ar-DZ"/>
          <w:rtl/>
        </w:rPr>
        <w:t xml:space="preserve"> دينار جزائري،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دفعاً لإيجار وأعباء المحل الكائن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[العنوان الكامل للمحل المؤجر]</w:t>
      </w:r>
      <w:r>
        <w:rPr>
          <w:rFonts w:ascii="Arial" w:hAnsi="Arial" w:cs="Arial"/>
          <w:lang w:bidi="ar-DZ"/>
          <w:rtl/>
        </w:rPr>
        <w:t xml:space="preserve">، المخصص لـ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[استعمال المحل سكن أو تجاري أو مهني]</w:t>
      </w:r>
      <w:r>
        <w:rPr>
          <w:rFonts w:ascii="Arial" w:hAnsi="Arial" w:cs="Arial"/>
          <w:lang w:bidi="ar-DZ"/>
          <w:rtl/>
        </w:rPr>
        <w:t xml:space="preserve">، عن الفترة من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بداية الفترة]</w:t>
      </w:r>
      <w:r>
        <w:rPr>
          <w:rFonts w:ascii="Arial" w:hAnsi="Arial" w:cs="Arial"/>
          <w:lang w:bidi="ar-DZ"/>
          <w:rtl/>
        </w:rPr>
        <w:t xml:space="preserve"> إلى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نهاية الفترة]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60"/>
      </w:pPr>
    </w:p>
    <w:p>
      <w:pPr>
        <w:bidi/>
        <w:spacing w:before="180" w:after="100"/>
      </w:pPr>
      <w:r>
        <w:rPr>
          <w:rFonts w:ascii="Arial" w:hAnsi="Arial" w:cs="Arial"/>
          <w:b/>
          <w:bCs/>
          <w:sz w:val="22"/>
          <w:szCs w:val="22"/>
          <w:color w:val="1E4E79"/>
          <w:lang w:bidi="ar-DZ"/>
          <w:rtl/>
        </w:rPr>
        <w:t xml:space="preserve">التفصيل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الإيجار: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[مبلغ الإيجار]</w:t>
      </w:r>
      <w:r>
        <w:rPr>
          <w:rFonts w:ascii="Arial" w:hAnsi="Arial" w:cs="Arial"/>
          <w:lang w:bidi="ar-DZ"/>
          <w:rtl/>
        </w:rPr>
        <w:t xml:space="preserve"> دج.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الأعباء: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[مبلغ الأعباء]</w:t>
      </w:r>
      <w:r>
        <w:rPr>
          <w:rFonts w:ascii="Arial" w:hAnsi="Arial" w:cs="Arial"/>
          <w:lang w:bidi="ar-DZ"/>
          <w:rtl/>
        </w:rPr>
        <w:t xml:space="preserve"> دج، التفصيل: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[تفصيل الأعباء]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مبالغ أخرى، إن وُجدت: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[مبالغ أخرى]</w:t>
      </w:r>
      <w:r>
        <w:rPr>
          <w:rFonts w:ascii="Arial" w:hAnsi="Arial" w:cs="Arial"/>
          <w:lang w:bidi="ar-DZ"/>
          <w:rtl/>
        </w:rPr>
        <w:t xml:space="preserve"> دج.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المجموع المستلم: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[المبلغ الإجمالي المستلم]</w:t>
      </w:r>
      <w:r>
        <w:rPr>
          <w:rFonts w:ascii="Arial" w:hAnsi="Arial" w:cs="Arial"/>
          <w:lang w:bidi="ar-DZ"/>
          <w:rtl/>
        </w:rPr>
        <w:t xml:space="preserve"> دج.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وسيلة الدفع: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[وسيلة الدفع نقداً أو تحويلاً أو شيكاً]</w:t>
      </w:r>
      <w:r>
        <w:rPr>
          <w:rFonts w:ascii="Arial" w:hAnsi="Arial" w:cs="Arial"/>
          <w:lang w:bidi="ar-DZ"/>
          <w:rtl/>
        </w:rPr>
        <w:t xml:space="preserve">، استُلم يوم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الدفع]</w:t>
      </w:r>
      <w:r>
        <w:rPr>
          <w:rFonts w:ascii="Arial" w:hAnsi="Arial" w:cs="Arial"/>
          <w:lang w:bidi="ar-DZ"/>
          <w:rtl/>
        </w:rPr>
        <w:t xml:space="preserve">. وإذا تم الدفع بشيك فهو مستلم مع التحفظ على تحصيله.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مرجع عقد الإيجار: عقد بتاريخ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العقد]</w:t>
      </w:r>
      <w:r>
        <w:rPr>
          <w:rFonts w:ascii="Arial" w:hAnsi="Arial" w:cs="Arial"/>
          <w:lang w:bidi="ar-DZ"/>
          <w:rtl/>
        </w:rPr>
        <w:t xml:space="preserve">،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[مرجع العقد أو طبيعته]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الباقي المستحق بعد هذه الدفعة، إن وُجد: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[الباقي المستحق]</w:t>
      </w:r>
      <w:r>
        <w:rPr>
          <w:rFonts w:ascii="Arial" w:hAnsi="Arial" w:cs="Arial"/>
          <w:lang w:bidi="ar-DZ"/>
          <w:rtl/>
        </w:rPr>
        <w:t xml:space="preserve"> دج.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لا يخص هذا الوصل إلا الفترة والمبالغ المذكورة أعلاه. وهو لا يعد وصلاً عن الفترات السابقة أو اللاحقة، ولا إبراءً من أي التزام آخر للمستأجِر.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حُرر بـ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[المدينة]</w:t>
      </w:r>
      <w:r>
        <w:rPr>
          <w:rFonts w:ascii="Arial" w:hAnsi="Arial" w:cs="Arial"/>
          <w:lang w:bidi="ar-DZ"/>
          <w:rtl/>
        </w:rPr>
        <w:t xml:space="preserve">، في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الوصل]</w:t>
      </w:r>
      <w:r>
        <w:rPr>
          <w:rFonts w:ascii="Arial" w:hAnsi="Arial" w:cs="Arial"/>
          <w:lang w:bidi="ar-DZ"/>
          <w:rtl/>
        </w:rPr>
        <w:t xml:space="preserve">، في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[عدد النسخ]</w:t>
      </w:r>
      <w:r>
        <w:rPr>
          <w:rFonts w:ascii="Arial" w:hAnsi="Arial" w:cs="Arial"/>
          <w:lang w:bidi="ar-DZ"/>
          <w:rtl/>
        </w:rPr>
        <w:t xml:space="preserve"> نسخ.</w:t>
      </w:r>
    </w:p>
    <w:p>
      <w:pPr>
        <w:bidi/>
        <w:jc w:val="center"/>
        <w:spacing w:before="320" w:after="480"/>
      </w:pPr>
      <w:r>
        <w:rPr>
          <w:rFonts w:ascii="Arial" w:hAnsi="Arial" w:cs="Arial"/>
          <w:b/>
          <w:bCs/>
          <w:lang w:bidi="ar-DZ"/>
          <w:rtl/>
        </w:rPr>
        <w:t xml:space="preserve">المؤجِّر، التوقيع</w:t>
      </w:r>
      <w:r>
        <w:rPr>
          <w:rFonts w:ascii="Arial" w:hAnsi="Arial" w:cs="Arial"/>
          <w:lang w:bidi="ar-DZ"/>
          <w:rtl/>
        </w:rPr>
        <w:t xml:space="preserve">      </w:t>
      </w:r>
      <w:r>
        <w:rPr>
          <w:rFonts w:ascii="Arial" w:hAnsi="Arial" w:cs="Arial"/>
          <w:b/>
          <w:bCs/>
          <w:lang w:bidi="ar-DZ"/>
          <w:rtl/>
        </w:rPr>
        <w:t xml:space="preserve">المستأجِر، استلم نسخة</w:t>
      </w:r>
    </w:p>
    <w:p>
      <w:r>
        <w:br w:type="page"/>
      </w:r>
    </w:p>
    <w:p>
      <w:pPr>
        <w:bidi/>
        <w:spacing w:before="260" w:after="120"/>
      </w:pPr>
      <w:r>
        <w:rPr>
          <w:rFonts w:ascii="Arial" w:hAnsi="Arial" w:cs="Arial"/>
          <w:b/>
          <w:bCs/>
          <w:sz w:val="26"/>
          <w:szCs w:val="26"/>
          <w:color w:val="1E4E79"/>
          <w:lang w:bidi="ar-DZ"/>
          <w:rtl/>
        </w:rPr>
        <w:t xml:space="preserve">ما لا يفعله الوصل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لا يحل محل عقد الإيجار.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ولا يصح إلا للفترة وللمبالغ التي يذكرها.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ولا يغير الإيجار: فمراجعته تتم حسب العقد.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ولا يقول شيئاً عن حق الطابع ولا عن النظام الجبائي للإيجارات: ارجعوا إلى محاسبكم.</w:t>
      </w:r>
    </w:p>
    <w:p>
      <w:pPr>
        <w:bidi/>
        <w:spacing w:before="0" w:after="100"/>
      </w:pPr>
      <w:r>
        <w:rPr>
          <w:rFonts w:ascii="Arial" w:hAnsi="Arial" w:cs="Arial"/>
          <w:i/>
          <w:iCs/>
          <w:sz w:val="16"/>
          <w:szCs w:val="16"/>
          <w:color w:val="5A6B7C"/>
          <w:lang w:bidi="ar-DZ"/>
          <w:rtl/>
        </w:rPr>
        <w:t xml:space="preserve">نص مذكور في هذا النموذج: القانون التجاري، المادة 187 مكرر، المدرجة بالقانون 05-02 المؤرخ في 6 فبراير سنة 2005، عقد إيجار تجاري في الشكل الرسمي تحت طائلة البطلان، كما تعرضه صفحة upgrowth.dz/ar/modele-bail-commercial-algerie. وتفصيل هذا النموذج منشور على upgrowth.dz/ar/modele-quittance-loyer-algerie.</w:t>
      </w:r>
    </w:p>
    <w:sectPr>
      <w:bidi/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>
  <w:p>
    <w:pPr>
      <w:pStyle w:val="Footer"/>
      <w:bidi/>
    </w:pPr>
    <w:r>
      <w:rPr>
        <w:sz w:val="15"/>
        <w:color w:val="5A6B7C"/>
        <w:rFonts w:ascii="Arial" w:hAnsi="Arial" w:cs="Arial"/>
        <w:rtl/>
      </w:rPr>
      <w:t xml:space="preserve">نموذج إعلامي مجاني من UpGrowth (upgrowth.dz). لا يُشكل استشارة قانونية. يُكيَّف حسب وضعكم قبل أي استعمال، ويُعرض على مختص إذا اقتضى الأمر.</w:t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"/>
      <w:lvlJc w:val="right"/>
      <w:pPr>
        <w:bidi/>
        <w:ind w:righ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right"/>
      <w:pPr>
        <w:bidi/>
        <w:ind w:righ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fr-FR" w:bidi="ar-DZ"/>
        <w:rtl/>
      </w:rPr>
    </w:rPrDefault>
    <w:pPrDefault>
      <w:pPr>
        <w:bidi/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Footer">
    <w:name w:val="footer"/>
    <w:pPr>
      <w:bidi/>
      <w:jc w:val="center"/>
      <w:spacing w:after="0"/>
    </w:pPr>
    <w:rPr>
      <w:sz w:val="15"/>
      <w:szCs w:val="15"/>
      <w:color w:val="5A6B7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UpGrowth Template Generator</Application>
  <Company>UpGrowth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وصل إيجار، نموذج في الجزائر</dc:title>
  <dc:subject>نموذج إعلامي لوصل إيجار: هوية المؤجِّر والمستأجِر، والمحل المؤجَّر، والفترة، والإيجار والأعباء، ووسيلة الدفع، وعبارة مع التحفظ على التحصيل، والتوقيعات.</dc:subject>
  <dc:creator>UpGrowth (upgrowth.dz)</dc:creator>
  <cp:keywords>وصل إيجار، وصل كراء، المؤجر، المستأجر، الإيجار، الجزائر، نموذج</cp:keywords>
  <cp:lastModifiedBy>UpGrowth</cp:lastModifiedBy>
  <dcterms:created xsi:type="dcterms:W3CDTF">2026-10-08T00:00:00Z</dcterms:created>
  <dcterms:modified xsi:type="dcterms:W3CDTF">2026-10-08T00:00:00Z</dcterms:modified>
  <dc:language>ar-DZ</dc:language>
</cp:coreProperties>
</file>