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0" w:after="160"/>
      </w:pPr>
      <w:r>
        <w:rPr>
          <w:b/>
          <w:sz w:val="36"/>
          <w:szCs w:val="36"/>
          <w:color w:val="0B2E4F"/>
        </w:rPr>
        <w:t xml:space="preserve">PROCÈS-VERBAL DE L'ASSEMBLÉE GÉNÉRALE ORDINAIRE</w:t>
      </w:r>
    </w:p>
    <w:p>
      <w:pPr>
        <w:jc w:val="center"/>
        <w:spacing w:before="0" w:after="240"/>
      </w:pPr>
      <w:r>
        <w:rPr>
          <w:i/>
          <w:sz w:val="22"/>
          <w:szCs w:val="22"/>
          <w:color w:val="44607A"/>
        </w:rPr>
        <w:t xml:space="preserve">Approbation des comptes d'une société à responsabilité limitée, droit algérien</w:t>
      </w:r>
    </w:p>
    <w:p>
      <w:pPr>
        <w:spacing w:before="160" w:after="160"/>
        <w:pBdr>
          <w:top w:val="single" w:sz="6" w:space="6" w:color="1E4E79"/>
          <w:left w:val="single" w:sz="6" w:space="6" w:color="1E4E79"/>
          <w:bottom w:val="single" w:sz="6" w:space="6" w:color="1E4E79"/>
          <w:right w:val="single" w:sz="6" w:space="6" w:color="1E4E79"/>
        </w:pBdr>
        <w:shd w:val="clear" w:color="auto" w:fill="EAF1F8"/>
      </w:pPr>
      <w:r>
        <w:rPr>
          <w:b/>
          <w:color w:val="0B2E4F"/>
        </w:rPr>
        <w:t xml:space="preserve">Ce procès-verbal est un document d'usage, pas un acte notarié. Il sert à constater que les associés ont approuvé les comptes de l'exercice, et c'est aussi la pièce qui accompagne le dépôt des comptes sociaux au CNRC : signé, constatant expressément l'approbation des comptes, en langue nationale et en langue française. Ce fichier existe dans les deux langues sur upgrowth.dz.</w:t>
      </w:r>
    </w:p>
    <w:p>
      <w:pPr>
        <w:spacing w:before="260" w:after="120"/>
      </w:pPr>
      <w:r>
        <w:rPr>
          <w:b/>
          <w:sz w:val="26"/>
          <w:szCs w:val="26"/>
          <w:color w:val="1E4E79"/>
        </w:rPr>
        <w:t xml:space="preserve">Avant de remplir</w:t>
      </w:r>
    </w:p>
    <w:p>
      <w:pPr>
        <w:numPr>
          <w:ilvl w:val="0"/>
          <w:numId w:val="1"/>
        </w:numPr>
        <w:spacing w:before="0" w:after="60"/>
      </w:pPr>
      <w:r>
        <w:t xml:space="preserve">Convoquez les associés quinze jours au moins avant la réunion, par lettre recommandée indiquant l'ordre du jour, article 580 du code de commerce. Les associés représentant le quart du capital peuvent demander la réunion d'une assemblée.</w:t>
      </w:r>
    </w:p>
    <w:p>
      <w:pPr>
        <w:numPr>
          <w:ilvl w:val="0"/>
          <w:numId w:val="1"/>
        </w:numPr>
        <w:spacing w:before="0" w:after="60"/>
      </w:pPr>
      <w:r>
        <w:t xml:space="preserve">Les comptes annuels sont approuvés dans les six mois de la clôture de l'exercice, article 584. Pour un exercice clos le 31 décembre, la date limite est donc le 30 juin.</w:t>
      </w:r>
    </w:p>
    <w:p>
      <w:pPr>
        <w:numPr>
          <w:ilvl w:val="0"/>
          <w:numId w:val="1"/>
        </w:numPr>
        <w:spacing w:before="0" w:after="60"/>
      </w:pPr>
      <w:r>
        <w:t xml:space="preserve">Les décisions ordinaires sont adoptées par des associés représentant plus de la moitié du capital social, article 582. Si cette majorité n'est pas atteinte à la première consultation, les associés sont consultés une seconde fois et la décision est prise à la majorité des votes émis, quelle que soit la portion du capital représentée. Chaque part donne une voix, article 581.</w:t>
      </w:r>
    </w:p>
    <w:p>
      <w:pPr>
        <w:numPr>
          <w:ilvl w:val="0"/>
          <w:numId w:val="1"/>
        </w:numPr>
        <w:spacing w:before="0" w:after="60"/>
      </w:pPr>
      <w:r>
        <w:t xml:space="preserve">Le dépôt des comptes au CNRC se fait dans le mois qui suit leur adoption par l'assemblée, article 717 alinéa 3 : datez l'assemblée avec soin, c'est elle qui fait courir le délai.</w:t>
      </w:r>
    </w:p>
    <w:p>
      <w:pPr>
        <w:numPr>
          <w:ilvl w:val="0"/>
          <w:numId w:val="1"/>
        </w:numPr>
        <w:spacing w:before="0" w:after="60"/>
      </w:pPr>
      <w:r>
        <w:t xml:space="preserve">Dans une EURL, il n'y a pas d'assemblée : l'associé unique approuve les comptes dans les six mois de la clôture, article 584, et sa décision est répertoriée dans un registre tenu au siège. Transformez ce modèle en décision de l'associé unique en supprimant la convocation, le bureau et la feuille de présence.</w:t>
      </w:r>
    </w:p>
    <w:p>
      <w:pPr>
        <w:numPr>
          <w:ilvl w:val="0"/>
          <w:numId w:val="1"/>
        </w:numPr>
        <w:spacing w:before="0" w:after="60"/>
      </w:pPr>
      <w:r>
        <w:t xml:space="preserve">Supprimez les résolutions optionnelles qui ne vous concernent pas et renumérotez les autres. Établissez un original par associé, plus un pour le siège et un pour le dossier de dépôt.</w:t>
      </w:r>
    </w:p>
    <w:p>
      <w:r>
        <w:br w:type="page"/>
      </w:r>
    </w:p>
    <w:p>
      <w:pPr>
        <w:jc w:val="center"/>
        <w:spacing w:before="0" w:after="120"/>
      </w:pPr>
      <w:r>
        <w:rPr>
          <w:b/>
        </w:rPr>
        <w:t xml:space="preserve">[DÉNOMINATION SOCIALE]</w:t>
      </w:r>
    </w:p>
    <w:p>
      <w:pPr>
        <w:jc w:val="center"/>
        <w:spacing w:before="0" w:after="120"/>
      </w:pPr>
      <w:r>
        <w:t xml:space="preserve">Société à responsabilité limitée au capital de </w:t>
      </w:r>
      <w:r>
        <w:rPr>
          <w:b/>
          <w:highlight w:val="yellow"/>
        </w:rPr>
        <w:t xml:space="preserve">[MONTANT DU CAPITAL]</w:t>
      </w:r>
      <w:r>
        <w:t xml:space="preserve"> dinars algériens</w:t>
      </w:r>
    </w:p>
    <w:p>
      <w:pPr>
        <w:jc w:val="center"/>
        <w:spacing w:before="0" w:after="120"/>
      </w:pPr>
      <w:r>
        <w:t xml:space="preserve">Siège social : </w:t>
      </w:r>
      <w:r>
        <w:rPr>
          <w:b/>
          <w:highlight w:val="yellow"/>
        </w:rPr>
        <w:t xml:space="preserve">[ADRESSE COMPLÈTE DU SIÈGE SOCIAL]</w:t>
      </w:r>
    </w:p>
    <w:p>
      <w:pPr>
        <w:jc w:val="center"/>
        <w:spacing w:before="0" w:after="120"/>
      </w:pPr>
      <w:r>
        <w:t xml:space="preserve">Registre du commerce n° </w:t>
      </w:r>
      <w:r>
        <w:rPr>
          <w:b/>
          <w:highlight w:val="yellow"/>
        </w:rPr>
        <w:t xml:space="preserve">[NUMÉRO DE REGISTRE DU COMMERCE]</w:t>
      </w:r>
    </w:p>
    <w:p>
      <w:pPr>
        <w:spacing w:before="0" w:after="60"/>
      </w:pPr>
    </w:p>
    <w:p>
      <w:pPr>
        <w:spacing w:before="260" w:after="120"/>
      </w:pPr>
      <w:r>
        <w:rPr>
          <w:b/>
          <w:sz w:val="26"/>
          <w:szCs w:val="26"/>
          <w:color w:val="1E4E79"/>
        </w:rPr>
        <w:t xml:space="preserve">PROCÈS-VERBAL DE L'ASSEMBLÉE GÉNÉRALE ORDINAIRE DU </w:t>
      </w:r>
      <w:r>
        <w:rPr>
          <w:b/>
          <w:sz w:val="26"/>
          <w:szCs w:val="26"/>
          <w:color w:val="1E4E79"/>
          <w:highlight w:val="yellow"/>
        </w:rPr>
        <w:t xml:space="preserve">[DATE DE L'ASSEMBLÉE]</w:t>
      </w:r>
    </w:p>
    <w:p>
      <w:pPr>
        <w:spacing w:before="0" w:after="120"/>
      </w:pPr>
      <w:r>
        <w:t xml:space="preserve">Approbation des comptes de l'exercice clos le </w:t>
      </w:r>
      <w:r>
        <w:rPr>
          <w:b/>
          <w:highlight w:val="yellow"/>
        </w:rPr>
        <w:t xml:space="preserve">[DATE DE CLÔTURE DE L'EXERCICE]</w:t>
      </w:r>
    </w:p>
    <w:p>
      <w:pPr>
        <w:spacing w:before="180" w:after="100"/>
      </w:pPr>
      <w:r>
        <w:rPr>
          <w:b/>
          <w:sz w:val="22"/>
          <w:szCs w:val="22"/>
          <w:color w:val="1E4E79"/>
        </w:rPr>
        <w:t xml:space="preserve">Date, heure, lieu et convocation</w:t>
      </w:r>
    </w:p>
    <w:p>
      <w:pPr>
        <w:spacing w:before="0" w:after="120"/>
      </w:pPr>
      <w:r>
        <w:t xml:space="preserve">L'an </w:t>
      </w:r>
      <w:r>
        <w:rPr>
          <w:b/>
          <w:highlight w:val="yellow"/>
        </w:rPr>
        <w:t xml:space="preserve">[ANNÉE]</w:t>
      </w:r>
      <w:r>
        <w:t xml:space="preserve">, le </w:t>
      </w:r>
      <w:r>
        <w:rPr>
          <w:b/>
          <w:highlight w:val="yellow"/>
        </w:rPr>
        <w:t xml:space="preserve">[JOUR]</w:t>
      </w:r>
      <w:r>
        <w:t xml:space="preserve"> du mois de </w:t>
      </w:r>
      <w:r>
        <w:rPr>
          <w:b/>
          <w:highlight w:val="yellow"/>
        </w:rPr>
        <w:t xml:space="preserve">[MOIS]</w:t>
      </w:r>
      <w:r>
        <w:t xml:space="preserve">, à </w:t>
      </w:r>
      <w:r>
        <w:rPr>
          <w:b/>
          <w:highlight w:val="yellow"/>
        </w:rPr>
        <w:t xml:space="preserve">[HEURE]</w:t>
      </w:r>
      <w:r>
        <w:t xml:space="preserve">, les associés de la société </w:t>
      </w:r>
      <w:r>
        <w:rPr>
          <w:b/>
          <w:highlight w:val="yellow"/>
        </w:rPr>
        <w:t xml:space="preserve">[DÉNOMINATION SOCIALE]</w:t>
      </w:r>
      <w:r>
        <w:t xml:space="preserve"> se sont réunis en assemblée générale ordinaire à </w:t>
      </w:r>
      <w:r>
        <w:rPr>
          <w:b/>
          <w:highlight w:val="yellow"/>
        </w:rPr>
        <w:t xml:space="preserve">[LIEU DE LA RÉUNION]</w:t>
      </w:r>
      <w:r>
        <w:t xml:space="preserve">, sur convocation du gérant adressée par lettre recommandée du </w:t>
      </w:r>
      <w:r>
        <w:rPr>
          <w:b/>
          <w:highlight w:val="yellow"/>
        </w:rPr>
        <w:t xml:space="preserve">[DATE D'ENVOI DE LA CONVOCATION]</w:t>
      </w:r>
      <w:r>
        <w:t xml:space="preserve"> et indiquant l'ordre du jour.</w:t>
      </w:r>
    </w:p>
    <w:p>
      <w:pPr>
        <w:spacing w:before="180" w:after="100"/>
      </w:pPr>
      <w:r>
        <w:rPr>
          <w:b/>
          <w:sz w:val="22"/>
          <w:szCs w:val="22"/>
          <w:color w:val="1E4E79"/>
        </w:rPr>
        <w:t xml:space="preserve">Associés présents ou représentés</w:t>
      </w:r>
    </w:p>
    <w:p>
      <w:pPr>
        <w:spacing w:before="0" w:after="120"/>
      </w:pPr>
      <w:r>
        <w:t xml:space="preserve">Sont présents ou représentés :</w:t>
      </w:r>
    </w:p>
    <w:p>
      <w:pPr>
        <w:numPr>
          <w:ilvl w:val="0"/>
          <w:numId w:val="1"/>
        </w:numPr>
        <w:spacing w:before="0" w:after="60"/>
      </w:pPr>
      <w:r>
        <w:rPr>
          <w:b/>
          <w:highlight w:val="yellow"/>
        </w:rPr>
        <w:t xml:space="preserve">[NOM ET PRÉNOM DU PREMIER ASSOCIÉ]</w:t>
      </w:r>
      <w:r>
        <w:t xml:space="preserve">, propriétaire de </w:t>
      </w:r>
      <w:r>
        <w:rPr>
          <w:b/>
          <w:highlight w:val="yellow"/>
        </w:rPr>
        <w:t xml:space="preserve">[NOMBRE]</w:t>
      </w:r>
      <w:r>
        <w:t xml:space="preserve"> parts sociales.</w:t>
      </w:r>
    </w:p>
    <w:p>
      <w:pPr>
        <w:numPr>
          <w:ilvl w:val="0"/>
          <w:numId w:val="1"/>
        </w:numPr>
        <w:spacing w:before="0" w:after="60"/>
      </w:pPr>
      <w:r>
        <w:rPr>
          <w:b/>
          <w:highlight w:val="yellow"/>
        </w:rPr>
        <w:t xml:space="preserve">[NOM ET PRÉNOM DU DEUXIÈME ASSOCIÉ]</w:t>
      </w:r>
      <w:r>
        <w:t xml:space="preserve">, propriétaire de </w:t>
      </w:r>
      <w:r>
        <w:rPr>
          <w:b/>
          <w:highlight w:val="yellow"/>
        </w:rPr>
        <w:t xml:space="preserve">[NOMBRE]</w:t>
      </w:r>
      <w:r>
        <w:t xml:space="preserve"> parts sociales.</w:t>
      </w:r>
    </w:p>
    <w:p>
      <w:pPr>
        <w:spacing w:before="0" w:after="120"/>
      </w:pPr>
      <w:r>
        <w:t xml:space="preserve">Associés absents : </w:t>
      </w:r>
      <w:r>
        <w:rPr>
          <w:b/>
          <w:highlight w:val="yellow"/>
        </w:rPr>
        <w:t xml:space="preserve">[NOM DES ASSOCIÉS ABSENTS, S'IL Y A LIEU]</w:t>
      </w:r>
      <w:r>
        <w:t xml:space="preserve">.</w:t>
      </w:r>
    </w:p>
    <w:p>
      <w:pPr>
        <w:spacing w:before="0" w:after="120"/>
      </w:pPr>
      <w:r>
        <w:t xml:space="preserve">Les associés présents ou représentés détiennent ensemble </w:t>
      </w:r>
      <w:r>
        <w:rPr>
          <w:b/>
          <w:highlight w:val="yellow"/>
        </w:rPr>
        <w:t xml:space="preserve">[NOMBRE DE PARTS PRÉSENTES]</w:t>
      </w:r>
      <w:r>
        <w:t xml:space="preserve"> parts sur les </w:t>
      </w:r>
      <w:r>
        <w:rPr>
          <w:b/>
          <w:highlight w:val="yellow"/>
        </w:rPr>
        <w:t xml:space="preserve">[NOMBRE TOTAL DE PARTS]</w:t>
      </w:r>
      <w:r>
        <w:t xml:space="preserve"> parts composant le capital social, soit </w:t>
      </w:r>
      <w:r>
        <w:rPr>
          <w:b/>
          <w:highlight w:val="yellow"/>
        </w:rPr>
        <w:t xml:space="preserve">[POURCENTAGE DU CAPITAL]</w:t>
      </w:r>
      <w:r>
        <w:t xml:space="preserve"> pour cent du capital. L'assemblée peut valablement délibérer.</w:t>
      </w:r>
    </w:p>
    <w:p>
      <w:pPr>
        <w:spacing w:before="180" w:after="100"/>
      </w:pPr>
      <w:r>
        <w:rPr>
          <w:b/>
          <w:sz w:val="22"/>
          <w:szCs w:val="22"/>
          <w:color w:val="1E4E79"/>
        </w:rPr>
        <w:t xml:space="preserve">Bureau de l'assemblée</w:t>
      </w:r>
    </w:p>
    <w:p>
      <w:pPr>
        <w:spacing w:before="0" w:after="120"/>
      </w:pPr>
      <w:r>
        <w:t xml:space="preserve">L'assemblée désigne </w:t>
      </w:r>
      <w:r>
        <w:rPr>
          <w:b/>
          <w:highlight w:val="yellow"/>
        </w:rPr>
        <w:t xml:space="preserve">[NOM DU PRÉSIDENT DE SÉANCE]</w:t>
      </w:r>
      <w:r>
        <w:t xml:space="preserve"> en qualité de président de séance, et </w:t>
      </w:r>
      <w:r>
        <w:rPr>
          <w:b/>
          <w:highlight w:val="yellow"/>
        </w:rPr>
        <w:t xml:space="preserve">[NOM DU SECRÉTAIRE]</w:t>
      </w:r>
      <w:r>
        <w:t xml:space="preserve"> en qualité de secrétaire. Le gérant, </w:t>
      </w:r>
      <w:r>
        <w:rPr>
          <w:b/>
          <w:highlight w:val="yellow"/>
        </w:rPr>
        <w:t xml:space="preserve">[NOM DU GÉRANT]</w:t>
      </w:r>
      <w:r>
        <w:t xml:space="preserve">, est présent. Le commissaire aux comptes, s'il en est désigné, </w:t>
      </w:r>
      <w:r>
        <w:rPr>
          <w:b/>
          <w:highlight w:val="yellow"/>
        </w:rPr>
        <w:t xml:space="preserve">[NOM DU COMMISSAIRE AUX COMPTES]</w:t>
      </w:r>
      <w:r>
        <w:t xml:space="preserve">, est présent ou excusé.</w:t>
      </w:r>
    </w:p>
    <w:p>
      <w:pPr>
        <w:spacing w:before="180" w:after="100"/>
      </w:pPr>
      <w:r>
        <w:rPr>
          <w:b/>
          <w:sz w:val="22"/>
          <w:szCs w:val="22"/>
          <w:color w:val="1E4E79"/>
        </w:rPr>
        <w:t xml:space="preserve">Documents mis à la disposition des associés</w:t>
      </w:r>
    </w:p>
    <w:p>
      <w:pPr>
        <w:numPr>
          <w:ilvl w:val="0"/>
          <w:numId w:val="1"/>
        </w:numPr>
        <w:spacing w:before="0" w:after="60"/>
      </w:pPr>
      <w:r>
        <w:t xml:space="preserve">Le rapport de gestion du gérant sur l'exercice clos le </w:t>
      </w:r>
      <w:r>
        <w:rPr>
          <w:b/>
          <w:highlight w:val="yellow"/>
        </w:rPr>
        <w:t xml:space="preserve">[DATE DE CLÔTURE DE L'EXERCICE]</w:t>
      </w:r>
      <w:r>
        <w:t xml:space="preserve">.</w:t>
      </w:r>
    </w:p>
    <w:p>
      <w:pPr>
        <w:numPr>
          <w:ilvl w:val="0"/>
          <w:numId w:val="1"/>
        </w:numPr>
        <w:spacing w:before="0" w:after="60"/>
      </w:pPr>
      <w:r>
        <w:t xml:space="preserve">Les comptes annuels de l'exercice : bilan actif, bilan passif et compte de résultats.</w:t>
      </w:r>
    </w:p>
    <w:p>
      <w:pPr>
        <w:numPr>
          <w:ilvl w:val="0"/>
          <w:numId w:val="1"/>
        </w:numPr>
        <w:spacing w:before="0" w:after="60"/>
      </w:pPr>
      <w:r>
        <w:t xml:space="preserve">Le rapport du commissaire aux comptes, s'il en est désigné.</w:t>
      </w:r>
    </w:p>
    <w:p>
      <w:pPr>
        <w:numPr>
          <w:ilvl w:val="0"/>
          <w:numId w:val="1"/>
        </w:numPr>
        <w:spacing w:before="0" w:after="60"/>
      </w:pPr>
      <w:r>
        <w:t xml:space="preserve">La feuille de présence.</w:t>
      </w:r>
    </w:p>
    <w:p>
      <w:pPr>
        <w:spacing w:before="180" w:after="100"/>
      </w:pPr>
      <w:r>
        <w:rPr>
          <w:b/>
          <w:sz w:val="22"/>
          <w:szCs w:val="22"/>
          <w:color w:val="1E4E79"/>
        </w:rPr>
        <w:t xml:space="preserve">Ordre du jour</w:t>
      </w:r>
    </w:p>
    <w:p>
      <w:pPr>
        <w:numPr>
          <w:ilvl w:val="0"/>
          <w:numId w:val="2"/>
        </w:numPr>
        <w:spacing w:before="0" w:after="60"/>
      </w:pPr>
      <w:r>
        <w:t xml:space="preserve">Lecture du rapport de gestion du gérant et, s'il en est désigné, du rapport du commissaire aux comptes.</w:t>
      </w:r>
    </w:p>
    <w:p>
      <w:pPr>
        <w:numPr>
          <w:ilvl w:val="0"/>
          <w:numId w:val="2"/>
        </w:numPr>
        <w:spacing w:before="0" w:after="60"/>
      </w:pPr>
      <w:r>
        <w:t xml:space="preserve">Approbation des comptes annuels de l'exercice clos le </w:t>
      </w:r>
      <w:r>
        <w:rPr>
          <w:b/>
          <w:highlight w:val="yellow"/>
        </w:rPr>
        <w:t xml:space="preserve">[DATE DE CLÔTURE DE L'EXERCICE]</w:t>
      </w:r>
      <w:r>
        <w:t xml:space="preserve">.</w:t>
      </w:r>
    </w:p>
    <w:p>
      <w:pPr>
        <w:numPr>
          <w:ilvl w:val="0"/>
          <w:numId w:val="2"/>
        </w:numPr>
        <w:spacing w:before="0" w:after="60"/>
      </w:pPr>
      <w:r>
        <w:t xml:space="preserve">Affectation du résultat.</w:t>
      </w:r>
    </w:p>
    <w:p>
      <w:pPr>
        <w:numPr>
          <w:ilvl w:val="0"/>
          <w:numId w:val="2"/>
        </w:numPr>
        <w:spacing w:before="0" w:after="60"/>
      </w:pPr>
      <w:r>
        <w:t xml:space="preserve">Quitus au gérant, résolution optionnelle.</w:t>
      </w:r>
    </w:p>
    <w:p>
      <w:pPr>
        <w:numPr>
          <w:ilvl w:val="0"/>
          <w:numId w:val="2"/>
        </w:numPr>
        <w:spacing w:before="0" w:after="60"/>
      </w:pPr>
      <w:r>
        <w:t xml:space="preserve">Désignation d'un commissaire aux comptes, résolution optionnelle.</w:t>
      </w:r>
    </w:p>
    <w:p>
      <w:pPr>
        <w:numPr>
          <w:ilvl w:val="0"/>
          <w:numId w:val="2"/>
        </w:numPr>
        <w:spacing w:before="0" w:after="60"/>
      </w:pPr>
      <w:r>
        <w:t xml:space="preserve">Pouvoirs pour l'accomplissement des formalités de dépôt.</w:t>
      </w:r>
    </w:p>
    <w:p>
      <w:r>
        <w:br w:type="page"/>
      </w:r>
    </w:p>
    <w:p>
      <w:pPr>
        <w:spacing w:before="260" w:after="120"/>
      </w:pPr>
      <w:r>
        <w:rPr>
          <w:b/>
          <w:sz w:val="26"/>
          <w:szCs w:val="26"/>
          <w:color w:val="1E4E79"/>
        </w:rPr>
        <w:t xml:space="preserve">Résolutions</w:t>
      </w:r>
    </w:p>
    <w:p>
      <w:pPr>
        <w:spacing w:before="180" w:after="100"/>
      </w:pPr>
      <w:r>
        <w:rPr>
          <w:b/>
          <w:sz w:val="22"/>
          <w:szCs w:val="22"/>
          <w:color w:val="1E4E79"/>
        </w:rPr>
        <w:t xml:space="preserve">Première résolution, approbation des comptes</w:t>
      </w:r>
    </w:p>
    <w:p>
      <w:pPr>
        <w:spacing w:before="0" w:after="120"/>
      </w:pPr>
      <w:r>
        <w:t xml:space="preserve">L'assemblée générale, après avoir entendu la lecture du rapport de gestion du gérant et, s'il en est désigné, du rapport du commissaire aux comptes, approuve les comptes annuels de l'exercice clos le </w:t>
      </w:r>
      <w:r>
        <w:rPr>
          <w:b/>
          <w:highlight w:val="yellow"/>
        </w:rPr>
        <w:t xml:space="preserve">[DATE DE CLÔTURE DE L'EXERCICE]</w:t>
      </w:r>
      <w:r>
        <w:t xml:space="preserve">, tels qu'ils lui ont été présentés, faisant ressortir </w:t>
      </w:r>
      <w:r>
        <w:rPr>
          <w:b/>
          <w:highlight w:val="yellow"/>
        </w:rPr>
        <w:t xml:space="preserve">[UN BÉNÉFICE OU UNE PERTE]</w:t>
      </w:r>
      <w:r>
        <w:t xml:space="preserve"> de </w:t>
      </w:r>
      <w:r>
        <w:rPr>
          <w:b/>
          <w:highlight w:val="yellow"/>
        </w:rPr>
        <w:t xml:space="preserve">[MONTANT DU RÉSULTAT]</w:t>
      </w:r>
      <w:r>
        <w:t xml:space="preserve"> dinars algériens, pour un total de bilan de </w:t>
      </w:r>
      <w:r>
        <w:rPr>
          <w:b/>
          <w:highlight w:val="yellow"/>
        </w:rPr>
        <w:t xml:space="preserve">[TOTAL DU BILAN]</w:t>
      </w:r>
      <w:r>
        <w:t xml:space="preserve"> dinars algériens.</w:t>
      </w:r>
    </w:p>
    <w:p>
      <w:pPr>
        <w:spacing w:before="0" w:after="100"/>
      </w:pPr>
      <w:r>
        <w:rPr>
          <w:i/>
          <w:sz w:val="16"/>
          <w:szCs w:val="16"/>
          <w:color w:val="5A6B7C"/>
        </w:rPr>
        <w:t xml:space="preserve">Article 584 : les comptes annuels sont approuvés dans les six mois de la clôture de l'exercice.</w:t>
      </w:r>
    </w:p>
    <w:p>
      <w:pPr>
        <w:spacing w:before="0" w:after="120"/>
      </w:pPr>
      <w:r>
        <w:t xml:space="preserve">Cette résolution est adoptée </w:t>
      </w:r>
      <w:r>
        <w:rPr>
          <w:b/>
          <w:highlight w:val="yellow"/>
        </w:rPr>
        <w:t xml:space="preserve">[À L'UNANIMITÉ OU INDIQUER LA MAJORITÉ OBTENUE]</w:t>
      </w:r>
      <w:r>
        <w:t xml:space="preserve">.</w:t>
      </w:r>
    </w:p>
    <w:p>
      <w:pPr>
        <w:spacing w:before="180" w:after="100"/>
      </w:pPr>
      <w:r>
        <w:rPr>
          <w:b/>
          <w:sz w:val="22"/>
          <w:szCs w:val="22"/>
          <w:color w:val="1E4E79"/>
        </w:rPr>
        <w:t xml:space="preserve">Deuxième résolution, affectation du résultat</w:t>
      </w:r>
    </w:p>
    <w:p>
      <w:pPr>
        <w:spacing w:before="0" w:after="120"/>
      </w:pPr>
      <w:r>
        <w:t xml:space="preserve">L'assemblée générale décide d'affecter le résultat de l'exercice de la manière suivante.</w:t>
      </w:r>
    </w:p>
    <w:p>
      <w:pPr>
        <w:numPr>
          <w:ilvl w:val="0"/>
          <w:numId w:val="1"/>
        </w:numPr>
        <w:spacing w:before="0" w:after="60"/>
      </w:pPr>
      <w:r>
        <w:t xml:space="preserve">En cas de bénéfice, réserve légale : </w:t>
      </w:r>
      <w:r>
        <w:rPr>
          <w:b/>
          <w:highlight w:val="yellow"/>
        </w:rPr>
        <w:t xml:space="preserve">[MONTANT DE LA RÉSERVE LÉGALE]</w:t>
      </w:r>
      <w:r>
        <w:t xml:space="preserve"> dinars algériens.</w:t>
      </w:r>
    </w:p>
    <w:p>
      <w:pPr>
        <w:numPr>
          <w:ilvl w:val="0"/>
          <w:numId w:val="1"/>
        </w:numPr>
        <w:spacing w:before="0" w:after="60"/>
      </w:pPr>
      <w:r>
        <w:t xml:space="preserve">En cas de bénéfice, autres réserves ou report à nouveau : </w:t>
      </w:r>
      <w:r>
        <w:rPr>
          <w:b/>
          <w:highlight w:val="yellow"/>
        </w:rPr>
        <w:t xml:space="preserve">[MONTANT DES AUTRES RÉSERVES OU DU REPORT À NOUVEAU]</w:t>
      </w:r>
      <w:r>
        <w:t xml:space="preserve"> dinars algériens.</w:t>
      </w:r>
    </w:p>
    <w:p>
      <w:pPr>
        <w:numPr>
          <w:ilvl w:val="0"/>
          <w:numId w:val="1"/>
        </w:numPr>
        <w:spacing w:before="0" w:after="60"/>
      </w:pPr>
      <w:r>
        <w:t xml:space="preserve">En cas de bénéfice, dividendes distribués : </w:t>
      </w:r>
      <w:r>
        <w:rPr>
          <w:b/>
          <w:highlight w:val="yellow"/>
        </w:rPr>
        <w:t xml:space="preserve">[MONTANT DES DIVIDENDES]</w:t>
      </w:r>
      <w:r>
        <w:t xml:space="preserve"> dinars algériens, soit </w:t>
      </w:r>
      <w:r>
        <w:rPr>
          <w:b/>
          <w:highlight w:val="yellow"/>
        </w:rPr>
        <w:t xml:space="preserve">[MONTANT PAR PART SOCIALE]</w:t>
      </w:r>
      <w:r>
        <w:t xml:space="preserve"> dinars algériens par part sociale.</w:t>
      </w:r>
    </w:p>
    <w:p>
      <w:pPr>
        <w:numPr>
          <w:ilvl w:val="0"/>
          <w:numId w:val="1"/>
        </w:numPr>
        <w:spacing w:before="0" w:after="60"/>
      </w:pPr>
      <w:r>
        <w:t xml:space="preserve">En cas de perte, report à nouveau : </w:t>
      </w:r>
      <w:r>
        <w:rPr>
          <w:b/>
          <w:highlight w:val="yellow"/>
        </w:rPr>
        <w:t xml:space="preserve">[MONTANT DE LA PERTE REPORTÉE]</w:t>
      </w:r>
      <w:r>
        <w:t xml:space="preserve"> dinars algériens.</w:t>
      </w:r>
    </w:p>
    <w:p>
      <w:pPr>
        <w:spacing w:before="0" w:after="100"/>
      </w:pPr>
      <w:r>
        <w:rPr>
          <w:i/>
          <w:sz w:val="16"/>
          <w:szCs w:val="16"/>
          <w:color w:val="5A6B7C"/>
        </w:rPr>
        <w:t xml:space="preserve">Article 721 : un prélèvement d'au moins un vingtième du bénéfice net, soit 5 pour cent, est affecté à la réserve légale, jusqu'à ce que celle-ci atteigne le dixième du capital, soit 10 pour cent, à peine de nullité de toute délibération contraire. Le régime fiscal d'une distribution de dividendes n'est pas traité par ce modèle : voyez votre comptable.</w:t>
      </w:r>
    </w:p>
    <w:p>
      <w:pPr>
        <w:spacing w:before="0" w:after="120"/>
      </w:pPr>
      <w:r>
        <w:t xml:space="preserve">Cette résolution est adoptée </w:t>
      </w:r>
      <w:r>
        <w:rPr>
          <w:b/>
          <w:highlight w:val="yellow"/>
        </w:rPr>
        <w:t xml:space="preserve">[À L'UNANIMITÉ OU INDIQUER LA MAJORITÉ OBTENUE]</w:t>
      </w:r>
      <w:r>
        <w:t xml:space="preserve">.</w:t>
      </w:r>
    </w:p>
    <w:p>
      <w:pPr>
        <w:spacing w:before="180" w:after="100"/>
      </w:pPr>
      <w:r>
        <w:rPr>
          <w:b/>
          <w:sz w:val="22"/>
          <w:szCs w:val="22"/>
          <w:color w:val="1E4E79"/>
        </w:rPr>
        <w:t xml:space="preserve">Troisième résolution, quitus au gérant, résolution optionnelle</w:t>
      </w:r>
    </w:p>
    <w:p>
      <w:pPr>
        <w:spacing w:before="0" w:after="120"/>
      </w:pPr>
      <w:r>
        <w:t xml:space="preserve">L'assemblée générale donne quitus au gérant, </w:t>
      </w:r>
      <w:r>
        <w:rPr>
          <w:b/>
          <w:highlight w:val="yellow"/>
        </w:rPr>
        <w:t xml:space="preserve">[NOM DU GÉRANT]</w:t>
      </w:r>
      <w:r>
        <w:t xml:space="preserve">, pour sa gestion de l'exercice clos le </w:t>
      </w:r>
      <w:r>
        <w:rPr>
          <w:b/>
          <w:highlight w:val="yellow"/>
        </w:rPr>
        <w:t xml:space="preserve">[DATE DE CLÔTURE DE L'EXERCICE]</w:t>
      </w:r>
      <w:r>
        <w:t xml:space="preserve">.</w:t>
      </w:r>
    </w:p>
    <w:p>
      <w:pPr>
        <w:spacing w:before="0" w:after="100"/>
      </w:pPr>
      <w:r>
        <w:rPr>
          <w:i/>
          <w:sz w:val="16"/>
          <w:szCs w:val="16"/>
          <w:color w:val="5A6B7C"/>
        </w:rPr>
        <w:t xml:space="preserve">Aucun article lu ne l'impose. Supprimez cette résolution si les associés ne souhaitent pas la voter, puis renumérotez.</w:t>
      </w:r>
    </w:p>
    <w:p>
      <w:pPr>
        <w:spacing w:before="0" w:after="120"/>
      </w:pPr>
      <w:r>
        <w:t xml:space="preserve">Cette résolution est adoptée </w:t>
      </w:r>
      <w:r>
        <w:rPr>
          <w:b/>
          <w:highlight w:val="yellow"/>
        </w:rPr>
        <w:t xml:space="preserve">[À L'UNANIMITÉ OU INDIQUER LA MAJORITÉ OBTENUE]</w:t>
      </w:r>
      <w:r>
        <w:t xml:space="preserve">.</w:t>
      </w:r>
    </w:p>
    <w:p>
      <w:pPr>
        <w:spacing w:before="180" w:after="100"/>
      </w:pPr>
      <w:r>
        <w:rPr>
          <w:b/>
          <w:sz w:val="22"/>
          <w:szCs w:val="22"/>
          <w:color w:val="1E4E79"/>
        </w:rPr>
        <w:t xml:space="preserve">Quatrième résolution, commissaire aux comptes, résolution optionnelle</w:t>
      </w:r>
    </w:p>
    <w:p>
      <w:pPr>
        <w:spacing w:before="0" w:after="120"/>
      </w:pPr>
      <w:r>
        <w:t xml:space="preserve">L'assemblée générale désigne </w:t>
      </w:r>
      <w:r>
        <w:rPr>
          <w:b/>
          <w:highlight w:val="yellow"/>
        </w:rPr>
        <w:t xml:space="preserve">[NOM DU COMMISSAIRE AUX COMPTES]</w:t>
      </w:r>
      <w:r>
        <w:t xml:space="preserve"> en qualité de commissaire aux comptes pour trois exercices.</w:t>
      </w:r>
    </w:p>
    <w:p>
      <w:pPr>
        <w:spacing w:before="0" w:after="100"/>
      </w:pPr>
      <w:r>
        <w:rPr>
          <w:i/>
          <w:sz w:val="16"/>
          <w:szCs w:val="16"/>
          <w:color w:val="5A6B7C"/>
        </w:rPr>
        <w:t xml:space="preserve">Article 44 de la loi 09-09, remplacé par l'article 66 de la loi de finances pour 2011 : un ou plusieurs commissaires aux comptes sont désignés pour trois exercices, sauf pour les sociétés dont le chiffre d'affaires est inférieur à 10 000 000 de dinars et pour les EURL.</w:t>
      </w:r>
    </w:p>
    <w:p>
      <w:pPr>
        <w:spacing w:before="0" w:after="120"/>
      </w:pPr>
      <w:r>
        <w:t xml:space="preserve">Cette résolution est adoptée </w:t>
      </w:r>
      <w:r>
        <w:rPr>
          <w:b/>
          <w:highlight w:val="yellow"/>
        </w:rPr>
        <w:t xml:space="preserve">[À L'UNANIMITÉ OU INDIQUER LA MAJORITÉ OBTENUE]</w:t>
      </w:r>
      <w:r>
        <w:t xml:space="preserve">.</w:t>
      </w:r>
    </w:p>
    <w:p>
      <w:pPr>
        <w:spacing w:before="180" w:after="100"/>
      </w:pPr>
      <w:r>
        <w:rPr>
          <w:b/>
          <w:sz w:val="22"/>
          <w:szCs w:val="22"/>
          <w:color w:val="1E4E79"/>
        </w:rPr>
        <w:t xml:space="preserve">Cinquième résolution, pouvoirs et dépôt des comptes</w:t>
      </w:r>
    </w:p>
    <w:p>
      <w:pPr>
        <w:spacing w:before="0" w:after="120"/>
      </w:pPr>
      <w:r>
        <w:t xml:space="preserve">L'assemblée générale donne tous pouvoirs au gérant, ainsi qu'à tout porteur d'un original, d'une copie ou d'un extrait du présent procès-verbal, à l'effet d'accomplir le dépôt des comptes sociaux au Centre National du Registre du Commerce dans le mois qui suit leur adoption par l'assemblée, article 717 alinéa 3 du code de commerce.</w:t>
      </w:r>
    </w:p>
    <w:p>
      <w:pPr>
        <w:spacing w:before="0" w:after="100"/>
      </w:pPr>
      <w:r>
        <w:rPr>
          <w:i/>
          <w:sz w:val="16"/>
          <w:szCs w:val="16"/>
          <w:color w:val="5A6B7C"/>
        </w:rPr>
        <w:t xml:space="preserve">Pièces du dépôt : compte de résultats, bilan actif, bilan passif et le présent procès-verbal signé, constatant l'approbation des comptes, chacune en langue nationale et en langue française.</w:t>
      </w:r>
    </w:p>
    <w:p>
      <w:pPr>
        <w:spacing w:before="0" w:after="120"/>
      </w:pPr>
      <w:r>
        <w:t xml:space="preserve">Cette résolution est adoptée </w:t>
      </w:r>
      <w:r>
        <w:rPr>
          <w:b/>
          <w:highlight w:val="yellow"/>
        </w:rPr>
        <w:t xml:space="preserve">[À L'UNANIMITÉ OU INDIQUER LA MAJORITÉ OBTENUE]</w:t>
      </w:r>
      <w:r>
        <w:t xml:space="preserve">.</w:t>
      </w:r>
    </w:p>
    <w:p>
      <w:pPr>
        <w:spacing w:before="180" w:after="100"/>
      </w:pPr>
      <w:r>
        <w:rPr>
          <w:b/>
          <w:sz w:val="22"/>
          <w:szCs w:val="22"/>
          <w:color w:val="1E4E79"/>
        </w:rPr>
        <w:t xml:space="preserve">Clôture</w:t>
      </w:r>
    </w:p>
    <w:p>
      <w:pPr>
        <w:spacing w:before="0" w:after="120"/>
      </w:pPr>
      <w:r>
        <w:t xml:space="preserve">L'ordre du jour étant épuisé et personne ne demandant plus la parole, la séance est levée à </w:t>
      </w:r>
      <w:r>
        <w:rPr>
          <w:b/>
          <w:highlight w:val="yellow"/>
        </w:rPr>
        <w:t xml:space="preserve">[HEURE DE CLÔTURE]</w:t>
      </w:r>
      <w:r>
        <w:t xml:space="preserve">. De tout ce qui précède, il a été dressé le présent procès-verbal, signé par le président de séance, le secrétaire et les associés présents ou leurs représentants.</w:t>
      </w:r>
    </w:p>
    <w:p>
      <w:pPr>
        <w:spacing w:before="0" w:after="120"/>
      </w:pPr>
      <w:r>
        <w:t xml:space="preserve">Fait à ............................</w:t>
      </w:r>
    </w:p>
    <w:p>
      <w:pPr>
        <w:spacing w:before="0" w:after="120"/>
      </w:pPr>
      <w:r>
        <w:t xml:space="preserve">Le ............................</w:t>
      </w:r>
    </w:p>
    <w:p>
      <w:pPr>
        <w:jc w:val="center"/>
        <w:spacing w:before="320" w:after="480"/>
      </w:pPr>
      <w:r>
        <w:rPr>
          <w:b/>
        </w:rPr>
        <w:t xml:space="preserve">Le président de séance</w:t>
      </w:r>
      <w:r>
        <w:t xml:space="preserve">      </w:t>
      </w:r>
      <w:r>
        <w:rPr>
          <w:b/>
        </w:rPr>
        <w:t xml:space="preserve">Le secrétaire</w:t>
      </w:r>
    </w:p>
    <w:p>
      <w:pPr>
        <w:jc w:val="center"/>
        <w:spacing w:before="320" w:after="480"/>
      </w:pPr>
      <w:r>
        <w:rPr>
          <w:b/>
        </w:rPr>
        <w:t xml:space="preserve">Le premier associé</w:t>
      </w:r>
      <w:r>
        <w:t xml:space="preserve">      </w:t>
      </w:r>
      <w:r>
        <w:rPr>
          <w:b/>
        </w:rPr>
        <w:t xml:space="preserve">Le deuxième associé</w:t>
      </w:r>
    </w:p>
    <w:p>
      <w:r>
        <w:br w:type="page"/>
      </w:r>
    </w:p>
    <w:p>
      <w:pPr>
        <w:spacing w:before="260" w:after="120"/>
      </w:pPr>
      <w:r>
        <w:rPr>
          <w:b/>
          <w:sz w:val="26"/>
          <w:szCs w:val="26"/>
          <w:color w:val="1E4E79"/>
        </w:rPr>
        <w:t xml:space="preserve">Ce que le procès-verbal ne fait pas</w:t>
      </w:r>
    </w:p>
    <w:p>
      <w:pPr>
        <w:numPr>
          <w:ilvl w:val="0"/>
          <w:numId w:val="1"/>
        </w:numPr>
        <w:spacing w:before="0" w:after="60"/>
      </w:pPr>
      <w:r>
        <w:t xml:space="preserve">Il ne dispense pas du dépôt des comptes sociaux au CNRC. Il en est une pièce, il ne le remplace pas.</w:t>
      </w:r>
    </w:p>
    <w:p>
      <w:pPr>
        <w:numPr>
          <w:ilvl w:val="0"/>
          <w:numId w:val="1"/>
        </w:numPr>
        <w:spacing w:before="0" w:after="60"/>
      </w:pPr>
      <w:r>
        <w:t xml:space="preserve">Il ne remplace pas les déclarations fiscales de la société, qui ont leur propre calendrier.</w:t>
      </w:r>
    </w:p>
    <w:p>
      <w:pPr>
        <w:numPr>
          <w:ilvl w:val="0"/>
          <w:numId w:val="1"/>
        </w:numPr>
        <w:spacing w:before="0" w:after="60"/>
      </w:pPr>
      <w:r>
        <w:t xml:space="preserve">Il ne se substitue pas à la certification des comptes lorsqu'un commissaire aux comptes est désigné.</w:t>
      </w:r>
    </w:p>
    <w:p>
      <w:pPr>
        <w:spacing w:before="260" w:after="120"/>
      </w:pPr>
      <w:r>
        <w:rPr>
          <w:b/>
          <w:sz w:val="26"/>
          <w:szCs w:val="26"/>
          <w:color w:val="1E4E79"/>
        </w:rPr>
        <w:t xml:space="preserve">Références légales citées dans ce modèle</w:t>
      </w:r>
    </w:p>
    <w:p>
      <w:pPr>
        <w:numPr>
          <w:ilvl w:val="0"/>
          <w:numId w:val="1"/>
        </w:numPr>
        <w:spacing w:before="0" w:after="60"/>
      </w:pPr>
      <w:r>
        <w:t xml:space="preserve">Code de commerce, articles 580, 581, 582 et 584 pour les décisions collectives et l'approbation des comptes, article 721 pour la réserve légale, article 717 alinéa 3 pour le dépôt des comptes sociaux.</w:t>
      </w:r>
    </w:p>
    <w:p>
      <w:pPr>
        <w:numPr>
          <w:ilvl w:val="0"/>
          <w:numId w:val="1"/>
        </w:numPr>
        <w:spacing w:before="0" w:after="60"/>
      </w:pPr>
      <w:r>
        <w:t xml:space="preserve">Loi n° 09-09, article 44, dans sa rédaction issue de l'article 66 de la loi de finances pour 2011, Journal officiel n° 80 de 2010, pour les commissaires aux comptes.</w:t>
      </w:r>
    </w:p>
    <w:p>
      <w:pPr>
        <w:spacing w:before="0" w:after="100"/>
      </w:pPr>
      <w:r>
        <w:rPr>
          <w:i/>
          <w:sz w:val="16"/>
          <w:szCs w:val="16"/>
          <w:color w:val="5A6B7C"/>
        </w:rPr>
        <w:t xml:space="preserve">Ces références sont celles que publient déjà les pages upgrowth.dz/modele-statuts-sarl-algerie et upgrowth.dz/depot-comptes-sociaux-algerie. Le détail de ce modèle est publié sur upgrowth.dz/modele-pv-ag-ordinaire-sarl-algerie.</w:t>
      </w:r>
    </w:p>
    <w:sectPr>
      <w:footerReference w:type="default" r:id="rId3"/>
      <w:pgSz w:w="11906" w:h="16838"/>
      <w:pgMar w:top="1418" w:right="1418" w:bottom="1418" w:left="1418" w:header="709" w:footer="709" w:gutter="0"/>
    </w:sectPr>
  </w:body>
</w:document>
</file>

<file path=word/footer1.xml><?xml version="1.0" encoding="utf-8"?>
<w:ftr xmlns:w="http://schemas.openxmlformats.org/wordprocessingml/2006/main">
  <w:p>
    <w:pPr>
      <w:pStyle w:val="Footer"/>
    </w:pPr>
    <w:r>
      <w:rPr>
        <w:sz w:val="15"/>
        <w:color w:val="5A6B7C"/>
      </w:rPr>
      <w:t xml:space="preserve">Modèle informatif gratuit fourni par UpGrowth (upgrowth.dz). Ne constitue pas une consultation juridique. À adapter à votre situation avant tout usage, et à faire relire par un professionnel si l'enjeu le justifie.</w:t>
    </w: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rPr>
        <w:rFonts w:ascii="Symbol" w:hAnsi="Symbol" w:hint="default"/>
      </w:rPr>
    </w:lvl>
  </w:abstractNum>
  <w:abstractNum w:abstractNumId="1">
    <w:multiLevelType w:val="hybridMultilevel"/>
    <w:lvl w:ilvl="0">
      <w:start w:val="1"/>
      <w:numFmt w:val="decimal"/>
      <w:lvlText w:val="%1."/>
      <w:lvlJc w:val="left"/>
      <w:pPr>
        <w:ind w:left="72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cs="Calibri"/>
        <w:sz w:val="21"/>
        <w:szCs w:val="21"/>
        <w:lang w:val="fr-FR"/>
      </w:rPr>
    </w:rPrDefault>
    <w:pPrDefault>
      <w:pPr>
        <w:spacing w:after="120" w:line="276" w:lineRule="auto"/>
        <w:jc w:val="both"/>
      </w:pPr>
    </w:pPrDefault>
  </w:docDefaults>
  <w:style w:type="paragraph" w:default="1" w:styleId="Normal">
    <w:name w:val="Normal"/>
    <w:qFormat/>
  </w:style>
  <w:style w:type="paragraph" w:styleId="Footer">
    <w:name w:val="footer"/>
    <w:pPr>
      <w:jc w:val="center"/>
      <w:spacing w:after="0"/>
    </w:pPr>
    <w:rPr>
      <w:sz w:val="15"/>
      <w:szCs w:val="15"/>
      <w:color w:val="5A6B7C"/>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UpGrowth Template Generator</Application>
  <Company>UpGrowth</Company>
</Properties>
</file>

<file path=docProps/core.xml><?xml version="1.0" encoding="utf-8"?>
<cp:coreProperties xmlns:cp="http://schemas.openxmlformats.org/package/2006/metadata/core-properties" xmlns:dc="http://purl.org/dc/elements/1.1/" xmlns:dcterms="http://purl.org/dc/terms/" xmlns:xsi="http://www.w3.org/2001/XMLSchema-instance">
  <dc:title>Procès-verbal d'assemblée générale ordinaire, approbation des comptes d'une SARL</dc:title>
  <dc:subject>Modèle informatif de procès-verbal d'assemblée générale ordinaire d'une SARL algérienne : approbation des comptes de l'exercice, affectation du résultat avec la réserve légale de l'article 721, pouvoirs de dépôt au CNRC.</dc:subject>
  <dc:creator>UpGrowth (upgrowth.dz)</dc:creator>
  <cp:keywords>procès-verbal, assemblée générale ordinaire, approbation des comptes, SARL, article 584, article 721, Algérie, modèle Word</cp:keywords>
  <cp:lastModifiedBy>UpGrowth</cp:lastModifiedBy>
  <dcterms:created xsi:type="dcterms:W3CDTF">2026-10-08T00:00:00Z</dcterms:created>
  <dcterms:modified xsi:type="dcterms:W3CDTF">2026-10-08T00:00:00Z</dcterms:modified>
  <dc:language>fr-DZ</dc:language>
</cp:coreProperties>
</file>