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bidi/>
        <w:jc w:val="center"/>
        <w:spacing w:before="0" w:after="160"/>
      </w:pPr>
      <w:r>
        <w:rPr>
          <w:rFonts w:ascii="Arial" w:hAnsi="Arial" w:cs="Arial"/>
          <w:b/>
          <w:bCs/>
          <w:sz w:val="36"/>
          <w:szCs w:val="36"/>
          <w:color w:val="0B2E4F"/>
          <w:lang w:bidi="ar-DZ"/>
          <w:rtl/>
        </w:rPr>
        <w:t xml:space="preserve">محضر الجمعية العامة العادية</w:t>
      </w:r>
    </w:p>
    <w:p>
      <w:pPr>
        <w:bidi/>
        <w:jc w:val="center"/>
        <w:spacing w:before="0" w:after="240"/>
      </w:pPr>
      <w:r>
        <w:rPr>
          <w:rFonts w:ascii="Arial" w:hAnsi="Arial" w:cs="Arial"/>
          <w:i/>
          <w:iCs/>
          <w:sz w:val="22"/>
          <w:szCs w:val="22"/>
          <w:color w:val="44607A"/>
          <w:lang w:bidi="ar-DZ"/>
          <w:rtl/>
        </w:rPr>
        <w:t xml:space="preserve">المصادقة على حسابات شركة ذات مسؤولية محدودة، القانون الجزائري</w:t>
      </w:r>
    </w:p>
    <w:p>
      <w:pPr>
        <w:bidi/>
        <w:spacing w:before="160" w:after="160"/>
        <w:pBdr>
          <w:top w:val="single" w:sz="6" w:space="6" w:color="1E4E79"/>
          <w:left w:val="single" w:sz="6" w:space="6" w:color="1E4E79"/>
          <w:bottom w:val="single" w:sz="6" w:space="6" w:color="1E4E79"/>
          <w:right w:val="single" w:sz="6" w:space="6" w:color="1E4E79"/>
        </w:pBdr>
        <w:shd w:val="clear" w:color="auto" w:fill="EAF1F8"/>
      </w:pPr>
      <w:r>
        <w:rPr>
          <w:rFonts w:ascii="Arial" w:hAnsi="Arial" w:cs="Arial"/>
          <w:b/>
          <w:bCs/>
          <w:color w:val="0B2E4F"/>
          <w:lang w:bidi="ar-DZ"/>
          <w:rtl/>
        </w:rPr>
        <w:t xml:space="preserve">هذا المحضر وثيقة عُرفية وليس عقداً توثيقياً. يُثبت أن الشركاء صادقوا على حسابات السنة المالية، وهو كذلك الوثيقة التي ترافق إيداع الحسابات الاجتماعية لدى المركز الوطني للسجل التجاري: موقعة، وتُثبت صراحةً المصادقة على الحسابات، باللغة الوطنية وباللغة الفرنسية. وهذا الملف موجود باللغتين على upgrowth.dz.</w:t>
      </w:r>
    </w:p>
    <w:p>
      <w:pPr>
        <w:bidi/>
        <w:spacing w:before="260" w:after="120"/>
      </w:pPr>
      <w:r>
        <w:rPr>
          <w:rFonts w:ascii="Arial" w:hAnsi="Arial" w:cs="Arial"/>
          <w:b/>
          <w:bCs/>
          <w:sz w:val="26"/>
          <w:szCs w:val="26"/>
          <w:color w:val="1E4E79"/>
          <w:lang w:bidi="ar-DZ"/>
          <w:rtl/>
        </w:rPr>
        <w:t xml:space="preserve">قبل الملء</w:t>
      </w:r>
    </w:p>
    <w:p>
      <w:pPr>
        <w:bidi/>
        <w:numPr>
          <w:ilvl w:val="0"/>
          <w:numId w:val="1"/>
        </w:numPr>
        <w:spacing w:before="0" w:after="60"/>
      </w:pPr>
      <w:r>
        <w:rPr>
          <w:rFonts w:ascii="Arial" w:hAnsi="Arial" w:cs="Arial"/>
          <w:lang w:bidi="ar-DZ"/>
          <w:rtl/>
        </w:rPr>
        <w:t xml:space="preserve">استدعوا الشركاء خمسة عشر يوماً على الأقل قبل الاجتماع، برسالة مضمونة تُبين جدول الأعمال، المادة 580 من القانون التجاري. ويمكن للشركاء الذين يمثلون ربع رأس المال أن يطلبوا انعقاد جمعية.</w:t>
      </w:r>
    </w:p>
    <w:p>
      <w:pPr>
        <w:bidi/>
        <w:numPr>
          <w:ilvl w:val="0"/>
          <w:numId w:val="1"/>
        </w:numPr>
        <w:spacing w:before="0" w:after="60"/>
      </w:pPr>
      <w:r>
        <w:rPr>
          <w:rFonts w:ascii="Arial" w:hAnsi="Arial" w:cs="Arial"/>
          <w:lang w:bidi="ar-DZ"/>
          <w:rtl/>
        </w:rPr>
        <w:t xml:space="preserve">يُصادَق على الحسابات السنوية في أجل ستة أشهر من اختتام السنة المالية، المادة 584. وبالنسبة لسنة مالية مختتمة في 31 ديسمبر، فالأجل الأقصى إذن 30 جوان.</w:t>
      </w:r>
    </w:p>
    <w:p>
      <w:pPr>
        <w:bidi/>
        <w:numPr>
          <w:ilvl w:val="0"/>
          <w:numId w:val="1"/>
        </w:numPr>
        <w:spacing w:before="0" w:after="60"/>
      </w:pPr>
      <w:r>
        <w:rPr>
          <w:rFonts w:ascii="Arial" w:hAnsi="Arial" w:cs="Arial"/>
          <w:lang w:bidi="ar-DZ"/>
          <w:rtl/>
        </w:rPr>
        <w:t xml:space="preserve">تُتخذ القرارات العادية من شريك أو عدة شركاء يمثلون أكثر من نصف رأس المال الاجتماعي، المادة 582. فإذا لم تُبلغ هذه الأغلبية عند الاستشارة الأولى، يُستشار الشركاء مرة ثانية ويُتخذ القرار بأغلبية الأصوات المعبَّر عنها، مهما كان جزء رأس المال الممثَّل. وكل حصة تمنح صوتاً واحداً، المادة 581.</w:t>
      </w:r>
    </w:p>
    <w:p>
      <w:pPr>
        <w:bidi/>
        <w:numPr>
          <w:ilvl w:val="0"/>
          <w:numId w:val="1"/>
        </w:numPr>
        <w:spacing w:before="0" w:after="60"/>
      </w:pPr>
      <w:r>
        <w:rPr>
          <w:rFonts w:ascii="Arial" w:hAnsi="Arial" w:cs="Arial"/>
          <w:lang w:bidi="ar-DZ"/>
          <w:rtl/>
        </w:rPr>
        <w:t xml:space="preserve">يتم إيداع الحسابات لدى المركز الوطني للسجل التجاري في الشهر الذي يلي مصادقة الجمعية عليها، المادة 717 الفقرة 3: أرّخوا الجمعية بعناية، فهي التي يبدأ منها الأجل.</w:t>
      </w:r>
    </w:p>
    <w:p>
      <w:pPr>
        <w:bidi/>
        <w:numPr>
          <w:ilvl w:val="0"/>
          <w:numId w:val="1"/>
        </w:numPr>
        <w:spacing w:before="0" w:after="60"/>
      </w:pPr>
      <w:r>
        <w:rPr>
          <w:rFonts w:ascii="Arial" w:hAnsi="Arial" w:cs="Arial"/>
          <w:lang w:bidi="ar-DZ"/>
          <w:rtl/>
        </w:rPr>
        <w:t xml:space="preserve">في المؤسسة ذات الشخص الوحيد لا توجد جمعية: يصادق الشريك الوحيد على الحسابات في أجل ستة أشهر من الاختتام، المادة 584، ويُدوَّن قراره في سجل يُحفظ بالمقر. حوّلوا هذا النموذج إلى قرار للشريك الوحيد بحذف الاستدعاء ومكتب الجلسة وورقة الحضور.</w:t>
      </w:r>
    </w:p>
    <w:p>
      <w:pPr>
        <w:bidi/>
        <w:numPr>
          <w:ilvl w:val="0"/>
          <w:numId w:val="1"/>
        </w:numPr>
        <w:spacing w:before="0" w:after="60"/>
      </w:pPr>
      <w:r>
        <w:rPr>
          <w:rFonts w:ascii="Arial" w:hAnsi="Arial" w:cs="Arial"/>
          <w:lang w:bidi="ar-DZ"/>
          <w:rtl/>
        </w:rPr>
        <w:t xml:space="preserve">امحوا القرارات الاختيارية التي لا تعنيكم وأعيدوا ترقيم الباقي. حرّروا أصلاً لكل شريك، إضافة إلى أصل للمقر وأصل لملف الإيداع.</w:t>
      </w:r>
    </w:p>
    <w:p>
      <w:r>
        <w:br w:type="page"/>
      </w:r>
    </w:p>
    <w:p>
      <w:pPr>
        <w:bidi/>
        <w:jc w:val="center"/>
        <w:spacing w:before="0" w:after="120"/>
      </w:pPr>
      <w:r>
        <w:rPr>
          <w:rFonts w:ascii="Arial" w:hAnsi="Arial" w:cs="Arial"/>
          <w:b/>
          <w:bCs/>
          <w:lang w:bidi="ar-DZ"/>
          <w:rtl/>
        </w:rPr>
        <w:t xml:space="preserve">[التسمية الاجتماعية]</w:t>
      </w:r>
    </w:p>
    <w:p>
      <w:pPr>
        <w:bidi/>
        <w:jc w:val="center"/>
        <w:spacing w:before="0" w:after="120"/>
      </w:pPr>
      <w:r>
        <w:rPr>
          <w:rFonts w:ascii="Arial" w:hAnsi="Arial" w:cs="Arial"/>
          <w:lang w:bidi="ar-DZ"/>
          <w:rtl/>
        </w:rPr>
        <w:t xml:space="preserve">شركة ذات مسؤولية محدودة برأسمال قدره </w:t>
      </w:r>
      <w:r>
        <w:rPr>
          <w:rFonts w:ascii="Arial" w:hAnsi="Arial" w:cs="Arial"/>
          <w:b/>
          <w:bCs/>
          <w:highlight w:val="yellow"/>
          <w:lang w:bidi="ar-DZ"/>
          <w:rtl/>
        </w:rPr>
        <w:t xml:space="preserve">[مبلغ رأس المال]</w:t>
      </w:r>
      <w:r>
        <w:rPr>
          <w:rFonts w:ascii="Arial" w:hAnsi="Arial" w:cs="Arial"/>
          <w:lang w:bidi="ar-DZ"/>
          <w:rtl/>
        </w:rPr>
        <w:t xml:space="preserve"> دينار جزائري</w:t>
      </w:r>
    </w:p>
    <w:p>
      <w:pPr>
        <w:bidi/>
        <w:jc w:val="center"/>
        <w:spacing w:before="0" w:after="120"/>
      </w:pPr>
      <w:r>
        <w:rPr>
          <w:rFonts w:ascii="Arial" w:hAnsi="Arial" w:cs="Arial"/>
          <w:lang w:bidi="ar-DZ"/>
          <w:rtl/>
        </w:rPr>
        <w:t xml:space="preserve">المقر الاجتماعي: </w:t>
      </w:r>
      <w:r>
        <w:rPr>
          <w:rFonts w:ascii="Arial" w:hAnsi="Arial" w:cs="Arial"/>
          <w:b/>
          <w:bCs/>
          <w:highlight w:val="yellow"/>
          <w:lang w:bidi="ar-DZ"/>
          <w:rtl/>
        </w:rPr>
        <w:t xml:space="preserve">[العنوان الكامل للمقر الاجتماعي]</w:t>
      </w:r>
    </w:p>
    <w:p>
      <w:pPr>
        <w:bidi/>
        <w:jc w:val="center"/>
        <w:spacing w:before="0" w:after="120"/>
      </w:pPr>
      <w:r>
        <w:rPr>
          <w:rFonts w:ascii="Arial" w:hAnsi="Arial" w:cs="Arial"/>
          <w:lang w:bidi="ar-DZ"/>
          <w:rtl/>
        </w:rPr>
        <w:t xml:space="preserve">السجل التجاري رقم: </w:t>
      </w:r>
      <w:r>
        <w:rPr>
          <w:rFonts w:ascii="Arial" w:hAnsi="Arial" w:cs="Arial"/>
          <w:b/>
          <w:bCs/>
          <w:highlight w:val="yellow"/>
          <w:lang w:bidi="ar-DZ"/>
          <w:rtl/>
        </w:rPr>
        <w:t xml:space="preserve">[رقم السجل التجاري]</w:t>
      </w:r>
    </w:p>
    <w:p>
      <w:pPr>
        <w:bidi/>
        <w:spacing w:before="0" w:after="60"/>
      </w:pPr>
    </w:p>
    <w:p>
      <w:pPr>
        <w:bidi/>
        <w:spacing w:before="260" w:after="120"/>
      </w:pPr>
      <w:r>
        <w:rPr>
          <w:rFonts w:ascii="Arial" w:hAnsi="Arial" w:cs="Arial"/>
          <w:b/>
          <w:bCs/>
          <w:sz w:val="26"/>
          <w:szCs w:val="26"/>
          <w:color w:val="1E4E79"/>
          <w:lang w:bidi="ar-DZ"/>
          <w:rtl/>
        </w:rPr>
        <w:t xml:space="preserve">محضر الجمعية العامة العادية المنعقدة في </w:t>
      </w:r>
      <w:r>
        <w:rPr>
          <w:rFonts w:ascii="Arial" w:hAnsi="Arial" w:cs="Arial"/>
          <w:b/>
          <w:bCs/>
          <w:sz w:val="26"/>
          <w:szCs w:val="26"/>
          <w:color w:val="1E4E79"/>
          <w:highlight w:val="yellow"/>
          <w:lang w:bidi="ar-DZ"/>
          <w:rtl/>
        </w:rPr>
        <w:t xml:space="preserve">[تاريخ الجمعية]</w:t>
      </w:r>
    </w:p>
    <w:p>
      <w:pPr>
        <w:bidi/>
        <w:spacing w:before="0" w:after="120"/>
      </w:pPr>
      <w:r>
        <w:rPr>
          <w:rFonts w:ascii="Arial" w:hAnsi="Arial" w:cs="Arial"/>
          <w:lang w:bidi="ar-DZ"/>
          <w:rtl/>
        </w:rPr>
        <w:t xml:space="preserve">المصادقة على حسابات السنة المالية المختتمة في </w:t>
      </w:r>
      <w:r>
        <w:rPr>
          <w:rFonts w:ascii="Arial" w:hAnsi="Arial" w:cs="Arial"/>
          <w:b/>
          <w:bCs/>
          <w:highlight w:val="yellow"/>
          <w:lang w:bidi="ar-DZ"/>
          <w:rtl/>
        </w:rPr>
        <w:t xml:space="preserve">[تاريخ اختتام السنة المالية]</w:t>
      </w:r>
    </w:p>
    <w:p>
      <w:pPr>
        <w:bidi/>
        <w:spacing w:before="180" w:after="100"/>
      </w:pPr>
      <w:r>
        <w:rPr>
          <w:rFonts w:ascii="Arial" w:hAnsi="Arial" w:cs="Arial"/>
          <w:b/>
          <w:bCs/>
          <w:sz w:val="22"/>
          <w:szCs w:val="22"/>
          <w:color w:val="1E4E79"/>
          <w:lang w:bidi="ar-DZ"/>
          <w:rtl/>
        </w:rPr>
        <w:t xml:space="preserve">التاريخ والساعة والمكان والاستدعاء</w:t>
      </w:r>
    </w:p>
    <w:p>
      <w:pPr>
        <w:bidi/>
        <w:spacing w:before="0" w:after="120"/>
      </w:pPr>
      <w:r>
        <w:rPr>
          <w:rFonts w:ascii="Arial" w:hAnsi="Arial" w:cs="Arial"/>
          <w:lang w:bidi="ar-DZ"/>
          <w:rtl/>
        </w:rPr>
        <w:t xml:space="preserve">في سنة </w:t>
      </w:r>
      <w:r>
        <w:rPr>
          <w:rFonts w:ascii="Arial" w:hAnsi="Arial" w:cs="Arial"/>
          <w:b/>
          <w:bCs/>
          <w:highlight w:val="yellow"/>
          <w:lang w:bidi="ar-DZ"/>
          <w:rtl/>
        </w:rPr>
        <w:t xml:space="preserve">[السنة]</w:t>
      </w:r>
      <w:r>
        <w:rPr>
          <w:rFonts w:ascii="Arial" w:hAnsi="Arial" w:cs="Arial"/>
          <w:lang w:bidi="ar-DZ"/>
          <w:rtl/>
        </w:rPr>
        <w:t xml:space="preserve">، يوم </w:t>
      </w:r>
      <w:r>
        <w:rPr>
          <w:rFonts w:ascii="Arial" w:hAnsi="Arial" w:cs="Arial"/>
          <w:b/>
          <w:bCs/>
          <w:highlight w:val="yellow"/>
          <w:lang w:bidi="ar-DZ"/>
          <w:rtl/>
        </w:rPr>
        <w:t xml:space="preserve">[اليوم]</w:t>
      </w:r>
      <w:r>
        <w:rPr>
          <w:rFonts w:ascii="Arial" w:hAnsi="Arial" w:cs="Arial"/>
          <w:lang w:bidi="ar-DZ"/>
          <w:rtl/>
        </w:rPr>
        <w:t xml:space="preserve"> من شهر </w:t>
      </w:r>
      <w:r>
        <w:rPr>
          <w:rFonts w:ascii="Arial" w:hAnsi="Arial" w:cs="Arial"/>
          <w:b/>
          <w:bCs/>
          <w:highlight w:val="yellow"/>
          <w:lang w:bidi="ar-DZ"/>
          <w:rtl/>
        </w:rPr>
        <w:t xml:space="preserve">[الشهر]</w:t>
      </w:r>
      <w:r>
        <w:rPr>
          <w:rFonts w:ascii="Arial" w:hAnsi="Arial" w:cs="Arial"/>
          <w:lang w:bidi="ar-DZ"/>
          <w:rtl/>
        </w:rPr>
        <w:t xml:space="preserve">، على الساعة </w:t>
      </w:r>
      <w:r>
        <w:rPr>
          <w:rFonts w:ascii="Arial" w:hAnsi="Arial" w:cs="Arial"/>
          <w:b/>
          <w:bCs/>
          <w:highlight w:val="yellow"/>
          <w:lang w:bidi="ar-DZ"/>
          <w:rtl/>
        </w:rPr>
        <w:t xml:space="preserve">[الساعة]</w:t>
      </w:r>
      <w:r>
        <w:rPr>
          <w:rFonts w:ascii="Arial" w:hAnsi="Arial" w:cs="Arial"/>
          <w:lang w:bidi="ar-DZ"/>
          <w:rtl/>
        </w:rPr>
        <w:t xml:space="preserve">، اجتمع شركاء شركة </w:t>
      </w:r>
      <w:r>
        <w:rPr>
          <w:rFonts w:ascii="Arial" w:hAnsi="Arial" w:cs="Arial"/>
          <w:b/>
          <w:bCs/>
          <w:highlight w:val="yellow"/>
          <w:lang w:bidi="ar-DZ"/>
          <w:rtl/>
        </w:rPr>
        <w:t xml:space="preserve">[التسمية الاجتماعية]</w:t>
      </w:r>
      <w:r>
        <w:rPr>
          <w:rFonts w:ascii="Arial" w:hAnsi="Arial" w:cs="Arial"/>
          <w:lang w:bidi="ar-DZ"/>
          <w:rtl/>
        </w:rPr>
        <w:t xml:space="preserve"> في جمعية عامة عادية بـ </w:t>
      </w:r>
      <w:r>
        <w:rPr>
          <w:rFonts w:ascii="Arial" w:hAnsi="Arial" w:cs="Arial"/>
          <w:b/>
          <w:bCs/>
          <w:highlight w:val="yellow"/>
          <w:lang w:bidi="ar-DZ"/>
          <w:rtl/>
        </w:rPr>
        <w:t xml:space="preserve">[مكان الاجتماع]</w:t>
      </w:r>
      <w:r>
        <w:rPr>
          <w:rFonts w:ascii="Arial" w:hAnsi="Arial" w:cs="Arial"/>
          <w:lang w:bidi="ar-DZ"/>
          <w:rtl/>
        </w:rPr>
        <w:t xml:space="preserve">، بناءً على استدعاء من المسيّر موجه برسالة مضمونة بتاريخ </w:t>
      </w:r>
      <w:r>
        <w:rPr>
          <w:rFonts w:ascii="Arial" w:hAnsi="Arial" w:cs="Arial"/>
          <w:b/>
          <w:bCs/>
          <w:highlight w:val="yellow"/>
          <w:lang w:bidi="ar-DZ"/>
          <w:rtl/>
        </w:rPr>
        <w:t xml:space="preserve">[تاريخ إرسال الاستدعاء]</w:t>
      </w:r>
      <w:r>
        <w:rPr>
          <w:rFonts w:ascii="Arial" w:hAnsi="Arial" w:cs="Arial"/>
          <w:lang w:bidi="ar-DZ"/>
          <w:rtl/>
        </w:rPr>
        <w:t xml:space="preserve"> ومبيِّن لجدول الأعمال.</w:t>
      </w:r>
    </w:p>
    <w:p>
      <w:pPr>
        <w:bidi/>
        <w:spacing w:before="180" w:after="100"/>
      </w:pPr>
      <w:r>
        <w:rPr>
          <w:rFonts w:ascii="Arial" w:hAnsi="Arial" w:cs="Arial"/>
          <w:b/>
          <w:bCs/>
          <w:sz w:val="22"/>
          <w:szCs w:val="22"/>
          <w:color w:val="1E4E79"/>
          <w:lang w:bidi="ar-DZ"/>
          <w:rtl/>
        </w:rPr>
        <w:t xml:space="preserve">الشركاء الحاضرون أو الممثَّلون</w:t>
      </w:r>
    </w:p>
    <w:p>
      <w:pPr>
        <w:bidi/>
        <w:spacing w:before="0" w:after="120"/>
      </w:pPr>
      <w:r>
        <w:rPr>
          <w:rFonts w:ascii="Arial" w:hAnsi="Arial" w:cs="Arial"/>
          <w:lang w:bidi="ar-DZ"/>
          <w:rtl/>
        </w:rPr>
        <w:t xml:space="preserve">حضر أو مُثّل:</w:t>
      </w:r>
    </w:p>
    <w:p>
      <w:pPr>
        <w:bidi/>
        <w:numPr>
          <w:ilvl w:val="0"/>
          <w:numId w:val="1"/>
        </w:numPr>
        <w:spacing w:before="0" w:after="60"/>
      </w:pPr>
      <w:r>
        <w:rPr>
          <w:rFonts w:ascii="Arial" w:hAnsi="Arial" w:cs="Arial"/>
          <w:b/>
          <w:bCs/>
          <w:highlight w:val="yellow"/>
          <w:lang w:bidi="ar-DZ"/>
          <w:rtl/>
        </w:rPr>
        <w:t xml:space="preserve">[الاسم واللقب للشريك الأول]</w:t>
      </w:r>
      <w:r>
        <w:rPr>
          <w:rFonts w:ascii="Arial" w:hAnsi="Arial" w:cs="Arial"/>
          <w:lang w:bidi="ar-DZ"/>
          <w:rtl/>
        </w:rPr>
        <w:t xml:space="preserve">، مالك </w:t>
      </w:r>
      <w:r>
        <w:rPr>
          <w:rFonts w:ascii="Arial" w:hAnsi="Arial" w:cs="Arial"/>
          <w:b/>
          <w:bCs/>
          <w:highlight w:val="yellow"/>
          <w:lang w:bidi="ar-DZ"/>
          <w:rtl/>
        </w:rPr>
        <w:t xml:space="preserve">[العدد]</w:t>
      </w:r>
      <w:r>
        <w:rPr>
          <w:rFonts w:ascii="Arial" w:hAnsi="Arial" w:cs="Arial"/>
          <w:lang w:bidi="ar-DZ"/>
          <w:rtl/>
        </w:rPr>
        <w:t xml:space="preserve"> حصة.</w:t>
      </w:r>
    </w:p>
    <w:p>
      <w:pPr>
        <w:bidi/>
        <w:numPr>
          <w:ilvl w:val="0"/>
          <w:numId w:val="1"/>
        </w:numPr>
        <w:spacing w:before="0" w:after="60"/>
      </w:pPr>
      <w:r>
        <w:rPr>
          <w:rFonts w:ascii="Arial" w:hAnsi="Arial" w:cs="Arial"/>
          <w:b/>
          <w:bCs/>
          <w:highlight w:val="yellow"/>
          <w:lang w:bidi="ar-DZ"/>
          <w:rtl/>
        </w:rPr>
        <w:t xml:space="preserve">[الاسم واللقب للشريك الثاني]</w:t>
      </w:r>
      <w:r>
        <w:rPr>
          <w:rFonts w:ascii="Arial" w:hAnsi="Arial" w:cs="Arial"/>
          <w:lang w:bidi="ar-DZ"/>
          <w:rtl/>
        </w:rPr>
        <w:t xml:space="preserve">، مالك </w:t>
      </w:r>
      <w:r>
        <w:rPr>
          <w:rFonts w:ascii="Arial" w:hAnsi="Arial" w:cs="Arial"/>
          <w:b/>
          <w:bCs/>
          <w:highlight w:val="yellow"/>
          <w:lang w:bidi="ar-DZ"/>
          <w:rtl/>
        </w:rPr>
        <w:t xml:space="preserve">[العدد]</w:t>
      </w:r>
      <w:r>
        <w:rPr>
          <w:rFonts w:ascii="Arial" w:hAnsi="Arial" w:cs="Arial"/>
          <w:lang w:bidi="ar-DZ"/>
          <w:rtl/>
        </w:rPr>
        <w:t xml:space="preserve"> حصة.</w:t>
      </w:r>
    </w:p>
    <w:p>
      <w:pPr>
        <w:bidi/>
        <w:spacing w:before="0" w:after="120"/>
      </w:pPr>
      <w:r>
        <w:rPr>
          <w:rFonts w:ascii="Arial" w:hAnsi="Arial" w:cs="Arial"/>
          <w:lang w:bidi="ar-DZ"/>
          <w:rtl/>
        </w:rPr>
        <w:t xml:space="preserve">الشركاء الغائبون: </w:t>
      </w:r>
      <w:r>
        <w:rPr>
          <w:rFonts w:ascii="Arial" w:hAnsi="Arial" w:cs="Arial"/>
          <w:b/>
          <w:bCs/>
          <w:highlight w:val="yellow"/>
          <w:lang w:bidi="ar-DZ"/>
          <w:rtl/>
        </w:rPr>
        <w:t xml:space="preserve">[أسماء الشركاء الغائبين إن وُجدوا]</w:t>
      </w:r>
      <w:r>
        <w:rPr>
          <w:rFonts w:ascii="Arial" w:hAnsi="Arial" w:cs="Arial"/>
          <w:lang w:bidi="ar-DZ"/>
          <w:rtl/>
        </w:rPr>
        <w:t xml:space="preserve">.</w:t>
      </w:r>
    </w:p>
    <w:p>
      <w:pPr>
        <w:bidi/>
        <w:spacing w:before="0" w:after="120"/>
      </w:pPr>
      <w:r>
        <w:rPr>
          <w:rFonts w:ascii="Arial" w:hAnsi="Arial" w:cs="Arial"/>
          <w:lang w:bidi="ar-DZ"/>
          <w:rtl/>
        </w:rPr>
        <w:t xml:space="preserve">ويملك الشركاء الحاضرون أو الممثَّلون مجتمعين </w:t>
      </w:r>
      <w:r>
        <w:rPr>
          <w:rFonts w:ascii="Arial" w:hAnsi="Arial" w:cs="Arial"/>
          <w:b/>
          <w:bCs/>
          <w:highlight w:val="yellow"/>
          <w:lang w:bidi="ar-DZ"/>
          <w:rtl/>
        </w:rPr>
        <w:t xml:space="preserve">[عدد الحصص الحاضرة]</w:t>
      </w:r>
      <w:r>
        <w:rPr>
          <w:rFonts w:ascii="Arial" w:hAnsi="Arial" w:cs="Arial"/>
          <w:lang w:bidi="ar-DZ"/>
          <w:rtl/>
        </w:rPr>
        <w:t xml:space="preserve"> حصة من أصل </w:t>
      </w:r>
      <w:r>
        <w:rPr>
          <w:rFonts w:ascii="Arial" w:hAnsi="Arial" w:cs="Arial"/>
          <w:b/>
          <w:bCs/>
          <w:highlight w:val="yellow"/>
          <w:lang w:bidi="ar-DZ"/>
          <w:rtl/>
        </w:rPr>
        <w:t xml:space="preserve">[العدد الإجمالي للحصص]</w:t>
      </w:r>
      <w:r>
        <w:rPr>
          <w:rFonts w:ascii="Arial" w:hAnsi="Arial" w:cs="Arial"/>
          <w:lang w:bidi="ar-DZ"/>
          <w:rtl/>
        </w:rPr>
        <w:t xml:space="preserve"> حصة المكونة لرأس المال الاجتماعي، أي </w:t>
      </w:r>
      <w:r>
        <w:rPr>
          <w:rFonts w:ascii="Arial" w:hAnsi="Arial" w:cs="Arial"/>
          <w:b/>
          <w:bCs/>
          <w:highlight w:val="yellow"/>
          <w:lang w:bidi="ar-DZ"/>
          <w:rtl/>
        </w:rPr>
        <w:t xml:space="preserve">[النسبة من رأس المال]</w:t>
      </w:r>
      <w:r>
        <w:rPr>
          <w:rFonts w:ascii="Arial" w:hAnsi="Arial" w:cs="Arial"/>
          <w:lang w:bidi="ar-DZ"/>
          <w:rtl/>
        </w:rPr>
        <w:t xml:space="preserve"> بالمائة من رأس المال. ويمكن للجمعية أن تتداول بصفة صحيحة.</w:t>
      </w:r>
    </w:p>
    <w:p>
      <w:pPr>
        <w:bidi/>
        <w:spacing w:before="180" w:after="100"/>
      </w:pPr>
      <w:r>
        <w:rPr>
          <w:rFonts w:ascii="Arial" w:hAnsi="Arial" w:cs="Arial"/>
          <w:b/>
          <w:bCs/>
          <w:sz w:val="22"/>
          <w:szCs w:val="22"/>
          <w:color w:val="1E4E79"/>
          <w:lang w:bidi="ar-DZ"/>
          <w:rtl/>
        </w:rPr>
        <w:t xml:space="preserve">مكتب الجمعية</w:t>
      </w:r>
    </w:p>
    <w:p>
      <w:pPr>
        <w:bidi/>
        <w:spacing w:before="0" w:after="120"/>
      </w:pPr>
      <w:r>
        <w:rPr>
          <w:rFonts w:ascii="Arial" w:hAnsi="Arial" w:cs="Arial"/>
          <w:lang w:bidi="ar-DZ"/>
          <w:rtl/>
        </w:rPr>
        <w:t xml:space="preserve">تعيّن الجمعية </w:t>
      </w:r>
      <w:r>
        <w:rPr>
          <w:rFonts w:ascii="Arial" w:hAnsi="Arial" w:cs="Arial"/>
          <w:b/>
          <w:bCs/>
          <w:highlight w:val="yellow"/>
          <w:lang w:bidi="ar-DZ"/>
          <w:rtl/>
        </w:rPr>
        <w:t xml:space="preserve">[اسم رئيس الجلسة]</w:t>
      </w:r>
      <w:r>
        <w:rPr>
          <w:rFonts w:ascii="Arial" w:hAnsi="Arial" w:cs="Arial"/>
          <w:lang w:bidi="ar-DZ"/>
          <w:rtl/>
        </w:rPr>
        <w:t xml:space="preserve"> رئيساً للجلسة، و</w:t>
      </w:r>
      <w:r>
        <w:rPr>
          <w:rFonts w:ascii="Arial" w:hAnsi="Arial" w:cs="Arial"/>
          <w:b/>
          <w:bCs/>
          <w:highlight w:val="yellow"/>
          <w:lang w:bidi="ar-DZ"/>
          <w:rtl/>
        </w:rPr>
        <w:t xml:space="preserve">[اسم أمين المحضر]</w:t>
      </w:r>
      <w:r>
        <w:rPr>
          <w:rFonts w:ascii="Arial" w:hAnsi="Arial" w:cs="Arial"/>
          <w:lang w:bidi="ar-DZ"/>
          <w:rtl/>
        </w:rPr>
        <w:t xml:space="preserve"> أميناً للمحضر. والمسيّر، </w:t>
      </w:r>
      <w:r>
        <w:rPr>
          <w:rFonts w:ascii="Arial" w:hAnsi="Arial" w:cs="Arial"/>
          <w:b/>
          <w:bCs/>
          <w:highlight w:val="yellow"/>
          <w:lang w:bidi="ar-DZ"/>
          <w:rtl/>
        </w:rPr>
        <w:t xml:space="preserve">[اسم المسيّر]</w:t>
      </w:r>
      <w:r>
        <w:rPr>
          <w:rFonts w:ascii="Arial" w:hAnsi="Arial" w:cs="Arial"/>
          <w:lang w:bidi="ar-DZ"/>
          <w:rtl/>
        </w:rPr>
        <w:t xml:space="preserve">، حاضر. ومحافظ الحسابات، إن وُجد، </w:t>
      </w:r>
      <w:r>
        <w:rPr>
          <w:rFonts w:ascii="Arial" w:hAnsi="Arial" w:cs="Arial"/>
          <w:b/>
          <w:bCs/>
          <w:highlight w:val="yellow"/>
          <w:lang w:bidi="ar-DZ"/>
          <w:rtl/>
        </w:rPr>
        <w:t xml:space="preserve">[اسم محافظ الحسابات]</w:t>
      </w:r>
      <w:r>
        <w:rPr>
          <w:rFonts w:ascii="Arial" w:hAnsi="Arial" w:cs="Arial"/>
          <w:lang w:bidi="ar-DZ"/>
          <w:rtl/>
        </w:rPr>
        <w:t xml:space="preserve">، حاضر أو معتذر.</w:t>
      </w:r>
    </w:p>
    <w:p>
      <w:pPr>
        <w:bidi/>
        <w:spacing w:before="180" w:after="100"/>
      </w:pPr>
      <w:r>
        <w:rPr>
          <w:rFonts w:ascii="Arial" w:hAnsi="Arial" w:cs="Arial"/>
          <w:b/>
          <w:bCs/>
          <w:sz w:val="22"/>
          <w:szCs w:val="22"/>
          <w:color w:val="1E4E79"/>
          <w:lang w:bidi="ar-DZ"/>
          <w:rtl/>
        </w:rPr>
        <w:t xml:space="preserve">الوثائق الموضوعة تحت تصرف الشركاء</w:t>
      </w:r>
    </w:p>
    <w:p>
      <w:pPr>
        <w:bidi/>
        <w:numPr>
          <w:ilvl w:val="0"/>
          <w:numId w:val="1"/>
        </w:numPr>
        <w:spacing w:before="0" w:after="60"/>
      </w:pPr>
      <w:r>
        <w:rPr>
          <w:rFonts w:ascii="Arial" w:hAnsi="Arial" w:cs="Arial"/>
          <w:lang w:bidi="ar-DZ"/>
          <w:rtl/>
        </w:rPr>
        <w:t xml:space="preserve">تقرير المسيّر عن السنة المالية المختتمة في </w:t>
      </w:r>
      <w:r>
        <w:rPr>
          <w:rFonts w:ascii="Arial" w:hAnsi="Arial" w:cs="Arial"/>
          <w:b/>
          <w:bCs/>
          <w:highlight w:val="yellow"/>
          <w:lang w:bidi="ar-DZ"/>
          <w:rtl/>
        </w:rPr>
        <w:t xml:space="preserve">[تاريخ اختتام السنة المالية]</w:t>
      </w:r>
      <w:r>
        <w:rPr>
          <w:rFonts w:ascii="Arial" w:hAnsi="Arial" w:cs="Arial"/>
          <w:lang w:bidi="ar-DZ"/>
          <w:rtl/>
        </w:rPr>
        <w:t xml:space="preserve">.</w:t>
      </w:r>
    </w:p>
    <w:p>
      <w:pPr>
        <w:bidi/>
        <w:numPr>
          <w:ilvl w:val="0"/>
          <w:numId w:val="1"/>
        </w:numPr>
        <w:spacing w:before="0" w:after="60"/>
      </w:pPr>
      <w:r>
        <w:rPr>
          <w:rFonts w:ascii="Arial" w:hAnsi="Arial" w:cs="Arial"/>
          <w:lang w:bidi="ar-DZ"/>
          <w:rtl/>
        </w:rPr>
        <w:t xml:space="preserve">الحسابات السنوية للسنة المالية: الميزانية، جانب الأصول وجانب الخصوم، وجدول حسابات النتائج.</w:t>
      </w:r>
    </w:p>
    <w:p>
      <w:pPr>
        <w:bidi/>
        <w:numPr>
          <w:ilvl w:val="0"/>
          <w:numId w:val="1"/>
        </w:numPr>
        <w:spacing w:before="0" w:after="60"/>
      </w:pPr>
      <w:r>
        <w:rPr>
          <w:rFonts w:ascii="Arial" w:hAnsi="Arial" w:cs="Arial"/>
          <w:lang w:bidi="ar-DZ"/>
          <w:rtl/>
        </w:rPr>
        <w:t xml:space="preserve">تقرير محافظ الحسابات، إن وُجد.</w:t>
      </w:r>
    </w:p>
    <w:p>
      <w:pPr>
        <w:bidi/>
        <w:numPr>
          <w:ilvl w:val="0"/>
          <w:numId w:val="1"/>
        </w:numPr>
        <w:spacing w:before="0" w:after="60"/>
      </w:pPr>
      <w:r>
        <w:rPr>
          <w:rFonts w:ascii="Arial" w:hAnsi="Arial" w:cs="Arial"/>
          <w:lang w:bidi="ar-DZ"/>
          <w:rtl/>
        </w:rPr>
        <w:t xml:space="preserve">ورقة الحضور.</w:t>
      </w:r>
    </w:p>
    <w:p>
      <w:pPr>
        <w:bidi/>
        <w:spacing w:before="180" w:after="100"/>
      </w:pPr>
      <w:r>
        <w:rPr>
          <w:rFonts w:ascii="Arial" w:hAnsi="Arial" w:cs="Arial"/>
          <w:b/>
          <w:bCs/>
          <w:sz w:val="22"/>
          <w:szCs w:val="22"/>
          <w:color w:val="1E4E79"/>
          <w:lang w:bidi="ar-DZ"/>
          <w:rtl/>
        </w:rPr>
        <w:t xml:space="preserve">جدول الأعمال</w:t>
      </w:r>
    </w:p>
    <w:p>
      <w:pPr>
        <w:bidi/>
        <w:numPr>
          <w:ilvl w:val="0"/>
          <w:numId w:val="2"/>
        </w:numPr>
        <w:spacing w:before="0" w:after="60"/>
      </w:pPr>
      <w:r>
        <w:rPr>
          <w:rFonts w:ascii="Arial" w:hAnsi="Arial" w:cs="Arial"/>
          <w:lang w:bidi="ar-DZ"/>
          <w:rtl/>
        </w:rPr>
        <w:t xml:space="preserve">تلاوة تقرير المسيّر، وتقرير محافظ الحسابات إن وُجد.</w:t>
      </w:r>
    </w:p>
    <w:p>
      <w:pPr>
        <w:bidi/>
        <w:numPr>
          <w:ilvl w:val="0"/>
          <w:numId w:val="2"/>
        </w:numPr>
        <w:spacing w:before="0" w:after="60"/>
      </w:pPr>
      <w:r>
        <w:rPr>
          <w:rFonts w:ascii="Arial" w:hAnsi="Arial" w:cs="Arial"/>
          <w:lang w:bidi="ar-DZ"/>
          <w:rtl/>
        </w:rPr>
        <w:t xml:space="preserve">المصادقة على الحسابات السنوية للسنة المالية المختتمة في </w:t>
      </w:r>
      <w:r>
        <w:rPr>
          <w:rFonts w:ascii="Arial" w:hAnsi="Arial" w:cs="Arial"/>
          <w:b/>
          <w:bCs/>
          <w:highlight w:val="yellow"/>
          <w:lang w:bidi="ar-DZ"/>
          <w:rtl/>
        </w:rPr>
        <w:t xml:space="preserve">[تاريخ اختتام السنة المالية]</w:t>
      </w:r>
      <w:r>
        <w:rPr>
          <w:rFonts w:ascii="Arial" w:hAnsi="Arial" w:cs="Arial"/>
          <w:lang w:bidi="ar-DZ"/>
          <w:rtl/>
        </w:rPr>
        <w:t xml:space="preserve">.</w:t>
      </w:r>
    </w:p>
    <w:p>
      <w:pPr>
        <w:bidi/>
        <w:numPr>
          <w:ilvl w:val="0"/>
          <w:numId w:val="2"/>
        </w:numPr>
        <w:spacing w:before="0" w:after="60"/>
      </w:pPr>
      <w:r>
        <w:rPr>
          <w:rFonts w:ascii="Arial" w:hAnsi="Arial" w:cs="Arial"/>
          <w:lang w:bidi="ar-DZ"/>
          <w:rtl/>
        </w:rPr>
        <w:t xml:space="preserve">تخصيص النتيجة.</w:t>
      </w:r>
    </w:p>
    <w:p>
      <w:pPr>
        <w:bidi/>
        <w:numPr>
          <w:ilvl w:val="0"/>
          <w:numId w:val="2"/>
        </w:numPr>
        <w:spacing w:before="0" w:after="60"/>
      </w:pPr>
      <w:r>
        <w:rPr>
          <w:rFonts w:ascii="Arial" w:hAnsi="Arial" w:cs="Arial"/>
          <w:lang w:bidi="ar-DZ"/>
          <w:rtl/>
        </w:rPr>
        <w:t xml:space="preserve">إبراء ذمة المسيّر، قرار اختياري.</w:t>
      </w:r>
    </w:p>
    <w:p>
      <w:pPr>
        <w:bidi/>
        <w:numPr>
          <w:ilvl w:val="0"/>
          <w:numId w:val="2"/>
        </w:numPr>
        <w:spacing w:before="0" w:after="60"/>
      </w:pPr>
      <w:r>
        <w:rPr>
          <w:rFonts w:ascii="Arial" w:hAnsi="Arial" w:cs="Arial"/>
          <w:lang w:bidi="ar-DZ"/>
          <w:rtl/>
        </w:rPr>
        <w:t xml:space="preserve">تعيين محافظ حسابات، قرار اختياري.</w:t>
      </w:r>
    </w:p>
    <w:p>
      <w:pPr>
        <w:bidi/>
        <w:numPr>
          <w:ilvl w:val="0"/>
          <w:numId w:val="2"/>
        </w:numPr>
        <w:spacing w:before="0" w:after="60"/>
      </w:pPr>
      <w:r>
        <w:rPr>
          <w:rFonts w:ascii="Arial" w:hAnsi="Arial" w:cs="Arial"/>
          <w:lang w:bidi="ar-DZ"/>
          <w:rtl/>
        </w:rPr>
        <w:t xml:space="preserve">الصلاحيات لإتمام إجراءات الإيداع.</w:t>
      </w:r>
    </w:p>
    <w:p>
      <w:r>
        <w:br w:type="page"/>
      </w:r>
    </w:p>
    <w:p>
      <w:pPr>
        <w:bidi/>
        <w:spacing w:before="260" w:after="120"/>
      </w:pPr>
      <w:r>
        <w:rPr>
          <w:rFonts w:ascii="Arial" w:hAnsi="Arial" w:cs="Arial"/>
          <w:b/>
          <w:bCs/>
          <w:sz w:val="26"/>
          <w:szCs w:val="26"/>
          <w:color w:val="1E4E79"/>
          <w:lang w:bidi="ar-DZ"/>
          <w:rtl/>
        </w:rPr>
        <w:t xml:space="preserve">القرارات</w:t>
      </w:r>
    </w:p>
    <w:p>
      <w:pPr>
        <w:bidi/>
        <w:spacing w:before="180" w:after="100"/>
      </w:pPr>
      <w:r>
        <w:rPr>
          <w:rFonts w:ascii="Arial" w:hAnsi="Arial" w:cs="Arial"/>
          <w:b/>
          <w:bCs/>
          <w:sz w:val="22"/>
          <w:szCs w:val="22"/>
          <w:color w:val="1E4E79"/>
          <w:lang w:bidi="ar-DZ"/>
          <w:rtl/>
        </w:rPr>
        <w:t xml:space="preserve">القرار الأول، المصادقة على الحسابات</w:t>
      </w:r>
    </w:p>
    <w:p>
      <w:pPr>
        <w:bidi/>
        <w:spacing w:before="0" w:after="120"/>
      </w:pPr>
      <w:r>
        <w:rPr>
          <w:rFonts w:ascii="Arial" w:hAnsi="Arial" w:cs="Arial"/>
          <w:lang w:bidi="ar-DZ"/>
          <w:rtl/>
        </w:rPr>
        <w:t xml:space="preserve">بعد الاستماع إلى تلاوة تقرير المسيّر، وتقرير محافظ الحسابات إن وُجد، تصادق الجمعية العامة على الحسابات السنوية للسنة المالية المختتمة في </w:t>
      </w:r>
      <w:r>
        <w:rPr>
          <w:rFonts w:ascii="Arial" w:hAnsi="Arial" w:cs="Arial"/>
          <w:b/>
          <w:bCs/>
          <w:highlight w:val="yellow"/>
          <w:lang w:bidi="ar-DZ"/>
          <w:rtl/>
        </w:rPr>
        <w:t xml:space="preserve">[تاريخ اختتام السنة المالية]</w:t>
      </w:r>
      <w:r>
        <w:rPr>
          <w:rFonts w:ascii="Arial" w:hAnsi="Arial" w:cs="Arial"/>
          <w:lang w:bidi="ar-DZ"/>
          <w:rtl/>
        </w:rPr>
        <w:t xml:space="preserve"> كما عُرضت عليها، والتي تُظهر </w:t>
      </w:r>
      <w:r>
        <w:rPr>
          <w:rFonts w:ascii="Arial" w:hAnsi="Arial" w:cs="Arial"/>
          <w:b/>
          <w:bCs/>
          <w:highlight w:val="yellow"/>
          <w:lang w:bidi="ar-DZ"/>
          <w:rtl/>
        </w:rPr>
        <w:t xml:space="preserve">[ربحاً أو خسارة]</w:t>
      </w:r>
      <w:r>
        <w:rPr>
          <w:rFonts w:ascii="Arial" w:hAnsi="Arial" w:cs="Arial"/>
          <w:lang w:bidi="ar-DZ"/>
          <w:rtl/>
        </w:rPr>
        <w:t xml:space="preserve"> قدره </w:t>
      </w:r>
      <w:r>
        <w:rPr>
          <w:rFonts w:ascii="Arial" w:hAnsi="Arial" w:cs="Arial"/>
          <w:b/>
          <w:bCs/>
          <w:highlight w:val="yellow"/>
          <w:lang w:bidi="ar-DZ"/>
          <w:rtl/>
        </w:rPr>
        <w:t xml:space="preserve">[مبلغ النتيجة]</w:t>
      </w:r>
      <w:r>
        <w:rPr>
          <w:rFonts w:ascii="Arial" w:hAnsi="Arial" w:cs="Arial"/>
          <w:lang w:bidi="ar-DZ"/>
          <w:rtl/>
        </w:rPr>
        <w:t xml:space="preserve"> دينار جزائري، بمجموع ميزانية قدره </w:t>
      </w:r>
      <w:r>
        <w:rPr>
          <w:rFonts w:ascii="Arial" w:hAnsi="Arial" w:cs="Arial"/>
          <w:b/>
          <w:bCs/>
          <w:highlight w:val="yellow"/>
          <w:lang w:bidi="ar-DZ"/>
          <w:rtl/>
        </w:rPr>
        <w:t xml:space="preserve">[مجموع الميزانية]</w:t>
      </w:r>
      <w:r>
        <w:rPr>
          <w:rFonts w:ascii="Arial" w:hAnsi="Arial" w:cs="Arial"/>
          <w:lang w:bidi="ar-DZ"/>
          <w:rtl/>
        </w:rPr>
        <w:t xml:space="preserve"> دينار جزائري.</w:t>
      </w:r>
    </w:p>
    <w:p>
      <w:pPr>
        <w:bidi/>
        <w:spacing w:before="0" w:after="100"/>
      </w:pPr>
      <w:r>
        <w:rPr>
          <w:rFonts w:ascii="Arial" w:hAnsi="Arial" w:cs="Arial"/>
          <w:i/>
          <w:iCs/>
          <w:sz w:val="16"/>
          <w:szCs w:val="16"/>
          <w:color w:val="5A6B7C"/>
          <w:lang w:bidi="ar-DZ"/>
          <w:rtl/>
        </w:rPr>
        <w:t xml:space="preserve">المادة 584: يُصادَق على الحسابات السنوية في أجل ستة أشهر من اختتام السنة المالية.</w:t>
      </w:r>
    </w:p>
    <w:p>
      <w:pPr>
        <w:bidi/>
        <w:spacing w:before="0" w:after="120"/>
      </w:pPr>
      <w:r>
        <w:rPr>
          <w:rFonts w:ascii="Arial" w:hAnsi="Arial" w:cs="Arial"/>
          <w:lang w:bidi="ar-DZ"/>
          <w:rtl/>
        </w:rPr>
        <w:t xml:space="preserve">اعتُمد هذا القرار </w:t>
      </w:r>
      <w:r>
        <w:rPr>
          <w:rFonts w:ascii="Arial" w:hAnsi="Arial" w:cs="Arial"/>
          <w:b/>
          <w:bCs/>
          <w:highlight w:val="yellow"/>
          <w:lang w:bidi="ar-DZ"/>
          <w:rtl/>
        </w:rPr>
        <w:t xml:space="preserve">[بالإجماع أو تُذكر الأغلبية المحصّل عليها]</w:t>
      </w:r>
      <w:r>
        <w:rPr>
          <w:rFonts w:ascii="Arial" w:hAnsi="Arial" w:cs="Arial"/>
          <w:lang w:bidi="ar-DZ"/>
          <w:rtl/>
        </w:rPr>
        <w:t xml:space="preserve">.</w:t>
      </w:r>
    </w:p>
    <w:p>
      <w:pPr>
        <w:bidi/>
        <w:spacing w:before="180" w:after="100"/>
      </w:pPr>
      <w:r>
        <w:rPr>
          <w:rFonts w:ascii="Arial" w:hAnsi="Arial" w:cs="Arial"/>
          <w:b/>
          <w:bCs/>
          <w:sz w:val="22"/>
          <w:szCs w:val="22"/>
          <w:color w:val="1E4E79"/>
          <w:lang w:bidi="ar-DZ"/>
          <w:rtl/>
        </w:rPr>
        <w:t xml:space="preserve">القرار الثاني، تخصيص النتيجة</w:t>
      </w:r>
    </w:p>
    <w:p>
      <w:pPr>
        <w:bidi/>
        <w:spacing w:before="0" w:after="120"/>
      </w:pPr>
      <w:r>
        <w:rPr>
          <w:rFonts w:ascii="Arial" w:hAnsi="Arial" w:cs="Arial"/>
          <w:lang w:bidi="ar-DZ"/>
          <w:rtl/>
        </w:rPr>
        <w:t xml:space="preserve">تقرر الجمعية العامة تخصيص نتيجة السنة المالية على النحو الآتي.</w:t>
      </w:r>
    </w:p>
    <w:p>
      <w:pPr>
        <w:bidi/>
        <w:numPr>
          <w:ilvl w:val="0"/>
          <w:numId w:val="1"/>
        </w:numPr>
        <w:spacing w:before="0" w:after="60"/>
      </w:pPr>
      <w:r>
        <w:rPr>
          <w:rFonts w:ascii="Arial" w:hAnsi="Arial" w:cs="Arial"/>
          <w:lang w:bidi="ar-DZ"/>
          <w:rtl/>
        </w:rPr>
        <w:t xml:space="preserve">في حالة الربح، الاحتياطي القانوني: </w:t>
      </w:r>
      <w:r>
        <w:rPr>
          <w:rFonts w:ascii="Arial" w:hAnsi="Arial" w:cs="Arial"/>
          <w:b/>
          <w:bCs/>
          <w:highlight w:val="yellow"/>
          <w:lang w:bidi="ar-DZ"/>
          <w:rtl/>
        </w:rPr>
        <w:t xml:space="preserve">[مبلغ الاحتياطي القانوني]</w:t>
      </w:r>
      <w:r>
        <w:rPr>
          <w:rFonts w:ascii="Arial" w:hAnsi="Arial" w:cs="Arial"/>
          <w:lang w:bidi="ar-DZ"/>
          <w:rtl/>
        </w:rPr>
        <w:t xml:space="preserve"> دينار جزائري.</w:t>
      </w:r>
    </w:p>
    <w:p>
      <w:pPr>
        <w:bidi/>
        <w:numPr>
          <w:ilvl w:val="0"/>
          <w:numId w:val="1"/>
        </w:numPr>
        <w:spacing w:before="0" w:after="60"/>
      </w:pPr>
      <w:r>
        <w:rPr>
          <w:rFonts w:ascii="Arial" w:hAnsi="Arial" w:cs="Arial"/>
          <w:lang w:bidi="ar-DZ"/>
          <w:rtl/>
        </w:rPr>
        <w:t xml:space="preserve">في حالة الربح، احتياطيات أخرى أو ترحيل من جديد: </w:t>
      </w:r>
      <w:r>
        <w:rPr>
          <w:rFonts w:ascii="Arial" w:hAnsi="Arial" w:cs="Arial"/>
          <w:b/>
          <w:bCs/>
          <w:highlight w:val="yellow"/>
          <w:lang w:bidi="ar-DZ"/>
          <w:rtl/>
        </w:rPr>
        <w:t xml:space="preserve">[مبلغ الاحتياطيات الأخرى أو الترحيل من جديد]</w:t>
      </w:r>
      <w:r>
        <w:rPr>
          <w:rFonts w:ascii="Arial" w:hAnsi="Arial" w:cs="Arial"/>
          <w:lang w:bidi="ar-DZ"/>
          <w:rtl/>
        </w:rPr>
        <w:t xml:space="preserve"> دينار جزائري.</w:t>
      </w:r>
    </w:p>
    <w:p>
      <w:pPr>
        <w:bidi/>
        <w:numPr>
          <w:ilvl w:val="0"/>
          <w:numId w:val="1"/>
        </w:numPr>
        <w:spacing w:before="0" w:after="60"/>
      </w:pPr>
      <w:r>
        <w:rPr>
          <w:rFonts w:ascii="Arial" w:hAnsi="Arial" w:cs="Arial"/>
          <w:lang w:bidi="ar-DZ"/>
          <w:rtl/>
        </w:rPr>
        <w:t xml:space="preserve">في حالة الربح، الأرباح الموزعة: </w:t>
      </w:r>
      <w:r>
        <w:rPr>
          <w:rFonts w:ascii="Arial" w:hAnsi="Arial" w:cs="Arial"/>
          <w:b/>
          <w:bCs/>
          <w:highlight w:val="yellow"/>
          <w:lang w:bidi="ar-DZ"/>
          <w:rtl/>
        </w:rPr>
        <w:t xml:space="preserve">[مبلغ الأرباح الموزعة]</w:t>
      </w:r>
      <w:r>
        <w:rPr>
          <w:rFonts w:ascii="Arial" w:hAnsi="Arial" w:cs="Arial"/>
          <w:lang w:bidi="ar-DZ"/>
          <w:rtl/>
        </w:rPr>
        <w:t xml:space="preserve"> دينار جزائري، أي </w:t>
      </w:r>
      <w:r>
        <w:rPr>
          <w:rFonts w:ascii="Arial" w:hAnsi="Arial" w:cs="Arial"/>
          <w:b/>
          <w:bCs/>
          <w:highlight w:val="yellow"/>
          <w:lang w:bidi="ar-DZ"/>
          <w:rtl/>
        </w:rPr>
        <w:t xml:space="preserve">[المبلغ عن كل حصة]</w:t>
      </w:r>
      <w:r>
        <w:rPr>
          <w:rFonts w:ascii="Arial" w:hAnsi="Arial" w:cs="Arial"/>
          <w:lang w:bidi="ar-DZ"/>
          <w:rtl/>
        </w:rPr>
        <w:t xml:space="preserve"> دينار جزائري عن كل حصة.</w:t>
      </w:r>
    </w:p>
    <w:p>
      <w:pPr>
        <w:bidi/>
        <w:numPr>
          <w:ilvl w:val="0"/>
          <w:numId w:val="1"/>
        </w:numPr>
        <w:spacing w:before="0" w:after="60"/>
      </w:pPr>
      <w:r>
        <w:rPr>
          <w:rFonts w:ascii="Arial" w:hAnsi="Arial" w:cs="Arial"/>
          <w:lang w:bidi="ar-DZ"/>
          <w:rtl/>
        </w:rPr>
        <w:t xml:space="preserve">في حالة الخسارة، ترحيل من جديد: </w:t>
      </w:r>
      <w:r>
        <w:rPr>
          <w:rFonts w:ascii="Arial" w:hAnsi="Arial" w:cs="Arial"/>
          <w:b/>
          <w:bCs/>
          <w:highlight w:val="yellow"/>
          <w:lang w:bidi="ar-DZ"/>
          <w:rtl/>
        </w:rPr>
        <w:t xml:space="preserve">[مبلغ الخسارة المرحَّلة]</w:t>
      </w:r>
      <w:r>
        <w:rPr>
          <w:rFonts w:ascii="Arial" w:hAnsi="Arial" w:cs="Arial"/>
          <w:lang w:bidi="ar-DZ"/>
          <w:rtl/>
        </w:rPr>
        <w:t xml:space="preserve"> دينار جزائري.</w:t>
      </w:r>
    </w:p>
    <w:p>
      <w:pPr>
        <w:bidi/>
        <w:spacing w:before="0" w:after="100"/>
      </w:pPr>
      <w:r>
        <w:rPr>
          <w:rFonts w:ascii="Arial" w:hAnsi="Arial" w:cs="Arial"/>
          <w:i/>
          <w:iCs/>
          <w:sz w:val="16"/>
          <w:szCs w:val="16"/>
          <w:color w:val="5A6B7C"/>
          <w:lang w:bidi="ar-DZ"/>
          <w:rtl/>
        </w:rPr>
        <w:t xml:space="preserve">المادة 721: يُقتطع من الربح الصافي جزء من عشرين على الأقل، أي 5 بالمائة، لتكوين الاحتياطي القانوني إلى أن يبلغ عُشر رأس المال أي 10 بالمائة، تحت طائلة بطلان كل مداولة مخالفة. والنظام الجبائي لتوزيع الأرباح لا يعالجه هذا النموذج: ارجعوا إلى محاسبكم.</w:t>
      </w:r>
    </w:p>
    <w:p>
      <w:pPr>
        <w:bidi/>
        <w:spacing w:before="0" w:after="120"/>
      </w:pPr>
      <w:r>
        <w:rPr>
          <w:rFonts w:ascii="Arial" w:hAnsi="Arial" w:cs="Arial"/>
          <w:lang w:bidi="ar-DZ"/>
          <w:rtl/>
        </w:rPr>
        <w:t xml:space="preserve">اعتُمد هذا القرار </w:t>
      </w:r>
      <w:r>
        <w:rPr>
          <w:rFonts w:ascii="Arial" w:hAnsi="Arial" w:cs="Arial"/>
          <w:b/>
          <w:bCs/>
          <w:highlight w:val="yellow"/>
          <w:lang w:bidi="ar-DZ"/>
          <w:rtl/>
        </w:rPr>
        <w:t xml:space="preserve">[بالإجماع أو تُذكر الأغلبية المحصّل عليها]</w:t>
      </w:r>
      <w:r>
        <w:rPr>
          <w:rFonts w:ascii="Arial" w:hAnsi="Arial" w:cs="Arial"/>
          <w:lang w:bidi="ar-DZ"/>
          <w:rtl/>
        </w:rPr>
        <w:t xml:space="preserve">.</w:t>
      </w:r>
    </w:p>
    <w:p>
      <w:pPr>
        <w:bidi/>
        <w:spacing w:before="180" w:after="100"/>
      </w:pPr>
      <w:r>
        <w:rPr>
          <w:rFonts w:ascii="Arial" w:hAnsi="Arial" w:cs="Arial"/>
          <w:b/>
          <w:bCs/>
          <w:sz w:val="22"/>
          <w:szCs w:val="22"/>
          <w:color w:val="1E4E79"/>
          <w:lang w:bidi="ar-DZ"/>
          <w:rtl/>
        </w:rPr>
        <w:t xml:space="preserve">القرار الثالث، إبراء ذمة المسيّر، قرار اختياري</w:t>
      </w:r>
    </w:p>
    <w:p>
      <w:pPr>
        <w:bidi/>
        <w:spacing w:before="0" w:after="120"/>
      </w:pPr>
      <w:r>
        <w:rPr>
          <w:rFonts w:ascii="Arial" w:hAnsi="Arial" w:cs="Arial"/>
          <w:lang w:bidi="ar-DZ"/>
          <w:rtl/>
        </w:rPr>
        <w:t xml:space="preserve">تمنح الجمعية العامة المسيّر، </w:t>
      </w:r>
      <w:r>
        <w:rPr>
          <w:rFonts w:ascii="Arial" w:hAnsi="Arial" w:cs="Arial"/>
          <w:b/>
          <w:bCs/>
          <w:highlight w:val="yellow"/>
          <w:lang w:bidi="ar-DZ"/>
          <w:rtl/>
        </w:rPr>
        <w:t xml:space="preserve">[اسم المسيّر]</w:t>
      </w:r>
      <w:r>
        <w:rPr>
          <w:rFonts w:ascii="Arial" w:hAnsi="Arial" w:cs="Arial"/>
          <w:lang w:bidi="ar-DZ"/>
          <w:rtl/>
        </w:rPr>
        <w:t xml:space="preserve">، إبراء الذمة عن تسييره للسنة المالية المختتمة في </w:t>
      </w:r>
      <w:r>
        <w:rPr>
          <w:rFonts w:ascii="Arial" w:hAnsi="Arial" w:cs="Arial"/>
          <w:b/>
          <w:bCs/>
          <w:highlight w:val="yellow"/>
          <w:lang w:bidi="ar-DZ"/>
          <w:rtl/>
        </w:rPr>
        <w:t xml:space="preserve">[تاريخ اختتام السنة المالية]</w:t>
      </w:r>
      <w:r>
        <w:rPr>
          <w:rFonts w:ascii="Arial" w:hAnsi="Arial" w:cs="Arial"/>
          <w:lang w:bidi="ar-DZ"/>
          <w:rtl/>
        </w:rPr>
        <w:t xml:space="preserve">.</w:t>
      </w:r>
    </w:p>
    <w:p>
      <w:pPr>
        <w:bidi/>
        <w:spacing w:before="0" w:after="100"/>
      </w:pPr>
      <w:r>
        <w:rPr>
          <w:rFonts w:ascii="Arial" w:hAnsi="Arial" w:cs="Arial"/>
          <w:i/>
          <w:iCs/>
          <w:sz w:val="16"/>
          <w:szCs w:val="16"/>
          <w:color w:val="5A6B7C"/>
          <w:lang w:bidi="ar-DZ"/>
          <w:rtl/>
        </w:rPr>
        <w:t xml:space="preserve">لا يفرضه أي نص قرأناه. امحوا هذا القرار إذا لم يرغب الشركاء في التصويت عليه، ثم أعيدوا الترقيم.</w:t>
      </w:r>
    </w:p>
    <w:p>
      <w:pPr>
        <w:bidi/>
        <w:spacing w:before="0" w:after="120"/>
      </w:pPr>
      <w:r>
        <w:rPr>
          <w:rFonts w:ascii="Arial" w:hAnsi="Arial" w:cs="Arial"/>
          <w:lang w:bidi="ar-DZ"/>
          <w:rtl/>
        </w:rPr>
        <w:t xml:space="preserve">اعتُمد هذا القرار </w:t>
      </w:r>
      <w:r>
        <w:rPr>
          <w:rFonts w:ascii="Arial" w:hAnsi="Arial" w:cs="Arial"/>
          <w:b/>
          <w:bCs/>
          <w:highlight w:val="yellow"/>
          <w:lang w:bidi="ar-DZ"/>
          <w:rtl/>
        </w:rPr>
        <w:t xml:space="preserve">[بالإجماع أو تُذكر الأغلبية المحصّل عليها]</w:t>
      </w:r>
      <w:r>
        <w:rPr>
          <w:rFonts w:ascii="Arial" w:hAnsi="Arial" w:cs="Arial"/>
          <w:lang w:bidi="ar-DZ"/>
          <w:rtl/>
        </w:rPr>
        <w:t xml:space="preserve">.</w:t>
      </w:r>
    </w:p>
    <w:p>
      <w:pPr>
        <w:bidi/>
        <w:spacing w:before="180" w:after="100"/>
      </w:pPr>
      <w:r>
        <w:rPr>
          <w:rFonts w:ascii="Arial" w:hAnsi="Arial" w:cs="Arial"/>
          <w:b/>
          <w:bCs/>
          <w:sz w:val="22"/>
          <w:szCs w:val="22"/>
          <w:color w:val="1E4E79"/>
          <w:lang w:bidi="ar-DZ"/>
          <w:rtl/>
        </w:rPr>
        <w:t xml:space="preserve">القرار الرابع، محافظ الحسابات، قرار اختياري</w:t>
      </w:r>
    </w:p>
    <w:p>
      <w:pPr>
        <w:bidi/>
        <w:spacing w:before="0" w:after="120"/>
      </w:pPr>
      <w:r>
        <w:rPr>
          <w:rFonts w:ascii="Arial" w:hAnsi="Arial" w:cs="Arial"/>
          <w:lang w:bidi="ar-DZ"/>
          <w:rtl/>
        </w:rPr>
        <w:t xml:space="preserve">تعيّن الجمعية العامة </w:t>
      </w:r>
      <w:r>
        <w:rPr>
          <w:rFonts w:ascii="Arial" w:hAnsi="Arial" w:cs="Arial"/>
          <w:b/>
          <w:bCs/>
          <w:highlight w:val="yellow"/>
          <w:lang w:bidi="ar-DZ"/>
          <w:rtl/>
        </w:rPr>
        <w:t xml:space="preserve">[اسم محافظ الحسابات]</w:t>
      </w:r>
      <w:r>
        <w:rPr>
          <w:rFonts w:ascii="Arial" w:hAnsi="Arial" w:cs="Arial"/>
          <w:lang w:bidi="ar-DZ"/>
          <w:rtl/>
        </w:rPr>
        <w:t xml:space="preserve"> محافظاً للحسابات لمدة ثلاث سنوات مالية.</w:t>
      </w:r>
    </w:p>
    <w:p>
      <w:pPr>
        <w:bidi/>
        <w:spacing w:before="0" w:after="100"/>
      </w:pPr>
      <w:r>
        <w:rPr>
          <w:rFonts w:ascii="Arial" w:hAnsi="Arial" w:cs="Arial"/>
          <w:i/>
          <w:iCs/>
          <w:sz w:val="16"/>
          <w:szCs w:val="16"/>
          <w:color w:val="5A6B7C"/>
          <w:lang w:bidi="ar-DZ"/>
          <w:rtl/>
        </w:rPr>
        <w:t xml:space="preserve">المادة 44 من القانون 09-09 المستبدَلة بالمادة 66 من قانون المالية لسنة 2011: يُعيَّن محافظ حسابات أو أكثر لثلاث سنوات مالية، باستثناء الشركات التي يقل رقم أعمالها عن 10 000 000 دينار والمؤسسات ذات الشخص الوحيد.</w:t>
      </w:r>
    </w:p>
    <w:p>
      <w:pPr>
        <w:bidi/>
        <w:spacing w:before="0" w:after="120"/>
      </w:pPr>
      <w:r>
        <w:rPr>
          <w:rFonts w:ascii="Arial" w:hAnsi="Arial" w:cs="Arial"/>
          <w:lang w:bidi="ar-DZ"/>
          <w:rtl/>
        </w:rPr>
        <w:t xml:space="preserve">اعتُمد هذا القرار </w:t>
      </w:r>
      <w:r>
        <w:rPr>
          <w:rFonts w:ascii="Arial" w:hAnsi="Arial" w:cs="Arial"/>
          <w:b/>
          <w:bCs/>
          <w:highlight w:val="yellow"/>
          <w:lang w:bidi="ar-DZ"/>
          <w:rtl/>
        </w:rPr>
        <w:t xml:space="preserve">[بالإجماع أو تُذكر الأغلبية المحصّل عليها]</w:t>
      </w:r>
      <w:r>
        <w:rPr>
          <w:rFonts w:ascii="Arial" w:hAnsi="Arial" w:cs="Arial"/>
          <w:lang w:bidi="ar-DZ"/>
          <w:rtl/>
        </w:rPr>
        <w:t xml:space="preserve">.</w:t>
      </w:r>
    </w:p>
    <w:p>
      <w:pPr>
        <w:bidi/>
        <w:spacing w:before="180" w:after="100"/>
      </w:pPr>
      <w:r>
        <w:rPr>
          <w:rFonts w:ascii="Arial" w:hAnsi="Arial" w:cs="Arial"/>
          <w:b/>
          <w:bCs/>
          <w:sz w:val="22"/>
          <w:szCs w:val="22"/>
          <w:color w:val="1E4E79"/>
          <w:lang w:bidi="ar-DZ"/>
          <w:rtl/>
        </w:rPr>
        <w:t xml:space="preserve">القرار الخامس، الصلاحيات وإيداع الحسابات</w:t>
      </w:r>
    </w:p>
    <w:p>
      <w:pPr>
        <w:bidi/>
        <w:spacing w:before="0" w:after="120"/>
      </w:pPr>
      <w:r>
        <w:rPr>
          <w:rFonts w:ascii="Arial" w:hAnsi="Arial" w:cs="Arial"/>
          <w:lang w:bidi="ar-DZ"/>
          <w:rtl/>
        </w:rPr>
        <w:t xml:space="preserve">تمنح الجمعية العامة كل الصلاحيات للمسيّر، ولكل حامل لأصل أو نسخة أو مستخرج من هذا المحضر، لإنجاز إيداع الحسابات الاجتماعية لدى المركز الوطني للسجل التجاري في الشهر الذي يلي مصادقة الجمعية عليها، المادة 717 الفقرة 3 من القانون التجاري.</w:t>
      </w:r>
    </w:p>
    <w:p>
      <w:pPr>
        <w:bidi/>
        <w:spacing w:before="0" w:after="100"/>
      </w:pPr>
      <w:r>
        <w:rPr>
          <w:rFonts w:ascii="Arial" w:hAnsi="Arial" w:cs="Arial"/>
          <w:i/>
          <w:iCs/>
          <w:sz w:val="16"/>
          <w:szCs w:val="16"/>
          <w:color w:val="5A6B7C"/>
          <w:lang w:bidi="ar-DZ"/>
          <w:rtl/>
        </w:rPr>
        <w:t xml:space="preserve">وثائق الإيداع: جدول حسابات النتائج، والميزانية جانب الأصول، والميزانية جانب الخصوم، وهذا المحضر الموقع الذي يثبت المصادقة على الحسابات، كل واحدة باللغة الوطنية وباللغة الفرنسية.</w:t>
      </w:r>
    </w:p>
    <w:p>
      <w:pPr>
        <w:bidi/>
        <w:spacing w:before="0" w:after="120"/>
      </w:pPr>
      <w:r>
        <w:rPr>
          <w:rFonts w:ascii="Arial" w:hAnsi="Arial" w:cs="Arial"/>
          <w:lang w:bidi="ar-DZ"/>
          <w:rtl/>
        </w:rPr>
        <w:t xml:space="preserve">اعتُمد هذا القرار </w:t>
      </w:r>
      <w:r>
        <w:rPr>
          <w:rFonts w:ascii="Arial" w:hAnsi="Arial" w:cs="Arial"/>
          <w:b/>
          <w:bCs/>
          <w:highlight w:val="yellow"/>
          <w:lang w:bidi="ar-DZ"/>
          <w:rtl/>
        </w:rPr>
        <w:t xml:space="preserve">[بالإجماع أو تُذكر الأغلبية المحصّل عليها]</w:t>
      </w:r>
      <w:r>
        <w:rPr>
          <w:rFonts w:ascii="Arial" w:hAnsi="Arial" w:cs="Arial"/>
          <w:lang w:bidi="ar-DZ"/>
          <w:rtl/>
        </w:rPr>
        <w:t xml:space="preserve">.</w:t>
      </w:r>
    </w:p>
    <w:p>
      <w:pPr>
        <w:bidi/>
        <w:spacing w:before="180" w:after="100"/>
      </w:pPr>
      <w:r>
        <w:rPr>
          <w:rFonts w:ascii="Arial" w:hAnsi="Arial" w:cs="Arial"/>
          <w:b/>
          <w:bCs/>
          <w:sz w:val="22"/>
          <w:szCs w:val="22"/>
          <w:color w:val="1E4E79"/>
          <w:lang w:bidi="ar-DZ"/>
          <w:rtl/>
        </w:rPr>
        <w:t xml:space="preserve">اختتام الجلسة</w:t>
      </w:r>
    </w:p>
    <w:p>
      <w:pPr>
        <w:bidi/>
        <w:spacing w:before="0" w:after="120"/>
      </w:pPr>
      <w:r>
        <w:rPr>
          <w:rFonts w:ascii="Arial" w:hAnsi="Arial" w:cs="Arial"/>
          <w:lang w:bidi="ar-DZ"/>
          <w:rtl/>
        </w:rPr>
        <w:t xml:space="preserve">بعد استنفاد جدول الأعمال ودون أن يطلب أحد الكلمة، رُفعت الجلسة على الساعة </w:t>
      </w:r>
      <w:r>
        <w:rPr>
          <w:rFonts w:ascii="Arial" w:hAnsi="Arial" w:cs="Arial"/>
          <w:b/>
          <w:bCs/>
          <w:highlight w:val="yellow"/>
          <w:lang w:bidi="ar-DZ"/>
          <w:rtl/>
        </w:rPr>
        <w:t xml:space="preserve">[ساعة الاختتام]</w:t>
      </w:r>
      <w:r>
        <w:rPr>
          <w:rFonts w:ascii="Arial" w:hAnsi="Arial" w:cs="Arial"/>
          <w:lang w:bidi="ar-DZ"/>
          <w:rtl/>
        </w:rPr>
        <w:t xml:space="preserve">. وقد حُرر هذا المحضر بناءً على ما سبق، ووقعه رئيس الجلسة وأمين المحضر والشركاء الحاضرون أو ممثلوهم.</w:t>
      </w:r>
    </w:p>
    <w:p>
      <w:pPr>
        <w:bidi/>
        <w:spacing w:before="0" w:after="120"/>
      </w:pPr>
      <w:r>
        <w:rPr>
          <w:rFonts w:ascii="Arial" w:hAnsi="Arial" w:cs="Arial"/>
          <w:lang w:bidi="ar-DZ"/>
          <w:rtl/>
        </w:rPr>
        <w:t xml:space="preserve">حُرر بـ ............................</w:t>
      </w:r>
    </w:p>
    <w:p>
      <w:pPr>
        <w:bidi/>
        <w:spacing w:before="0" w:after="120"/>
      </w:pPr>
      <w:r>
        <w:rPr>
          <w:rFonts w:ascii="Arial" w:hAnsi="Arial" w:cs="Arial"/>
          <w:lang w:bidi="ar-DZ"/>
          <w:rtl/>
        </w:rPr>
        <w:t xml:space="preserve">في ............................</w:t>
      </w:r>
    </w:p>
    <w:p>
      <w:pPr>
        <w:bidi/>
        <w:jc w:val="center"/>
        <w:spacing w:before="320" w:after="480"/>
      </w:pPr>
      <w:r>
        <w:rPr>
          <w:rFonts w:ascii="Arial" w:hAnsi="Arial" w:cs="Arial"/>
          <w:b/>
          <w:bCs/>
          <w:lang w:bidi="ar-DZ"/>
          <w:rtl/>
        </w:rPr>
        <w:t xml:space="preserve">رئيس الجلسة</w:t>
      </w:r>
      <w:r>
        <w:rPr>
          <w:rFonts w:ascii="Arial" w:hAnsi="Arial" w:cs="Arial"/>
          <w:lang w:bidi="ar-DZ"/>
          <w:rtl/>
        </w:rPr>
        <w:t xml:space="preserve">      </w:t>
      </w:r>
      <w:r>
        <w:rPr>
          <w:rFonts w:ascii="Arial" w:hAnsi="Arial" w:cs="Arial"/>
          <w:b/>
          <w:bCs/>
          <w:lang w:bidi="ar-DZ"/>
          <w:rtl/>
        </w:rPr>
        <w:t xml:space="preserve">أمين المحضر</w:t>
      </w:r>
    </w:p>
    <w:p>
      <w:pPr>
        <w:bidi/>
        <w:jc w:val="center"/>
        <w:spacing w:before="320" w:after="480"/>
      </w:pPr>
      <w:r>
        <w:rPr>
          <w:rFonts w:ascii="Arial" w:hAnsi="Arial" w:cs="Arial"/>
          <w:b/>
          <w:bCs/>
          <w:lang w:bidi="ar-DZ"/>
          <w:rtl/>
        </w:rPr>
        <w:t xml:space="preserve">الشريك الأول</w:t>
      </w:r>
      <w:r>
        <w:rPr>
          <w:rFonts w:ascii="Arial" w:hAnsi="Arial" w:cs="Arial"/>
          <w:lang w:bidi="ar-DZ"/>
          <w:rtl/>
        </w:rPr>
        <w:t xml:space="preserve">      </w:t>
      </w:r>
      <w:r>
        <w:rPr>
          <w:rFonts w:ascii="Arial" w:hAnsi="Arial" w:cs="Arial"/>
          <w:b/>
          <w:bCs/>
          <w:lang w:bidi="ar-DZ"/>
          <w:rtl/>
        </w:rPr>
        <w:t xml:space="preserve">الشريك الثاني</w:t>
      </w:r>
    </w:p>
    <w:p>
      <w:r>
        <w:br w:type="page"/>
      </w:r>
    </w:p>
    <w:p>
      <w:pPr>
        <w:bidi/>
        <w:spacing w:before="260" w:after="120"/>
      </w:pPr>
      <w:r>
        <w:rPr>
          <w:rFonts w:ascii="Arial" w:hAnsi="Arial" w:cs="Arial"/>
          <w:b/>
          <w:bCs/>
          <w:sz w:val="26"/>
          <w:szCs w:val="26"/>
          <w:color w:val="1E4E79"/>
          <w:lang w:bidi="ar-DZ"/>
          <w:rtl/>
        </w:rPr>
        <w:t xml:space="preserve">ما لا يفعله المحضر</w:t>
      </w:r>
    </w:p>
    <w:p>
      <w:pPr>
        <w:bidi/>
        <w:numPr>
          <w:ilvl w:val="0"/>
          <w:numId w:val="1"/>
        </w:numPr>
        <w:spacing w:before="0" w:after="60"/>
      </w:pPr>
      <w:r>
        <w:rPr>
          <w:rFonts w:ascii="Arial" w:hAnsi="Arial" w:cs="Arial"/>
          <w:lang w:bidi="ar-DZ"/>
          <w:rtl/>
        </w:rPr>
        <w:t xml:space="preserve">لا يعفي من إيداع الحسابات الاجتماعية لدى المركز الوطني للسجل التجاري. فهو إحدى وثائقه ولا يحل محله.</w:t>
      </w:r>
    </w:p>
    <w:p>
      <w:pPr>
        <w:bidi/>
        <w:numPr>
          <w:ilvl w:val="0"/>
          <w:numId w:val="1"/>
        </w:numPr>
        <w:spacing w:before="0" w:after="60"/>
      </w:pPr>
      <w:r>
        <w:rPr>
          <w:rFonts w:ascii="Arial" w:hAnsi="Arial" w:cs="Arial"/>
          <w:lang w:bidi="ar-DZ"/>
          <w:rtl/>
        </w:rPr>
        <w:t xml:space="preserve">لا يحل محل التصريحات الجبائية للشركة، التي لها رزنامتها الخاصة.</w:t>
      </w:r>
    </w:p>
    <w:p>
      <w:pPr>
        <w:bidi/>
        <w:numPr>
          <w:ilvl w:val="0"/>
          <w:numId w:val="1"/>
        </w:numPr>
        <w:spacing w:before="0" w:after="60"/>
      </w:pPr>
      <w:r>
        <w:rPr>
          <w:rFonts w:ascii="Arial" w:hAnsi="Arial" w:cs="Arial"/>
          <w:lang w:bidi="ar-DZ"/>
          <w:rtl/>
        </w:rPr>
        <w:t xml:space="preserve">لا يغني عن مصادقة محافظ الحسابات على الحسابات حين يُعيَّن.</w:t>
      </w:r>
    </w:p>
    <w:p>
      <w:pPr>
        <w:bidi/>
        <w:spacing w:before="260" w:after="120"/>
      </w:pPr>
      <w:r>
        <w:rPr>
          <w:rFonts w:ascii="Arial" w:hAnsi="Arial" w:cs="Arial"/>
          <w:b/>
          <w:bCs/>
          <w:sz w:val="26"/>
          <w:szCs w:val="26"/>
          <w:color w:val="1E4E79"/>
          <w:lang w:bidi="ar-DZ"/>
          <w:rtl/>
        </w:rPr>
        <w:t xml:space="preserve">المراجع القانونية المذكورة في هذا النموذج</w:t>
      </w:r>
    </w:p>
    <w:p>
      <w:pPr>
        <w:bidi/>
        <w:numPr>
          <w:ilvl w:val="0"/>
          <w:numId w:val="1"/>
        </w:numPr>
        <w:spacing w:before="0" w:after="60"/>
      </w:pPr>
      <w:r>
        <w:rPr>
          <w:rFonts w:ascii="Arial" w:hAnsi="Arial" w:cs="Arial"/>
          <w:lang w:bidi="ar-DZ"/>
          <w:rtl/>
        </w:rPr>
        <w:t xml:space="preserve">القانون التجاري، المواد 580 و581 و582 و584 للقرارات الجماعية والمصادقة على الحسابات، والمادة 721 للاحتياطي القانوني، والمادة 717 الفقرة 3 لإيداع الحسابات الاجتماعية.</w:t>
      </w:r>
    </w:p>
    <w:p>
      <w:pPr>
        <w:bidi/>
        <w:numPr>
          <w:ilvl w:val="0"/>
          <w:numId w:val="1"/>
        </w:numPr>
        <w:spacing w:before="0" w:after="60"/>
      </w:pPr>
      <w:r>
        <w:rPr>
          <w:rFonts w:ascii="Arial" w:hAnsi="Arial" w:cs="Arial"/>
          <w:lang w:bidi="ar-DZ"/>
          <w:rtl/>
        </w:rPr>
        <w:t xml:space="preserve">القانون رقم 09-09، المادة 44، بصيغتها الناتجة عن المادة 66 من قانون المالية لسنة 2011، الجريدة الرسمية عدد 80 لسنة 2010، لمحافظي الحسابات.</w:t>
      </w:r>
    </w:p>
    <w:p>
      <w:pPr>
        <w:bidi/>
        <w:spacing w:before="0" w:after="100"/>
      </w:pPr>
      <w:r>
        <w:rPr>
          <w:rFonts w:ascii="Arial" w:hAnsi="Arial" w:cs="Arial"/>
          <w:i/>
          <w:iCs/>
          <w:sz w:val="16"/>
          <w:szCs w:val="16"/>
          <w:color w:val="5A6B7C"/>
          <w:lang w:bidi="ar-DZ"/>
          <w:rtl/>
        </w:rPr>
        <w:t xml:space="preserve">هذه المراجع هي التي تنشرها أصلاً صفحتا upgrowth.dz/ar/modele-statuts-sarl-algerie وupgrowth.dz/ar/depot-comptes-sociaux-algerie. وتفصيل هذا النموذج منشور على upgrowth.dz/ar/modele-pv-ag-ordinaire-sarl-algerie.</w:t>
      </w:r>
    </w:p>
    <w:sectPr>
      <w:bidi/>
      <w:footerReference w:type="default" r:id="rId3"/>
      <w:pgSz w:w="11906" w:h="16838"/>
      <w:pgMar w:top="1418" w:right="1418" w:bottom="1418" w:left="1418" w:header="709" w:footer="709" w:gutter="0"/>
    </w:sectPr>
  </w:body>
</w:document>
</file>

<file path=word/footer1.xml><?xml version="1.0" encoding="utf-8"?>
<w:ftr xmlns:w="http://schemas.openxmlformats.org/wordprocessingml/2006/main">
  <w:p>
    <w:pPr>
      <w:pStyle w:val="Footer"/>
      <w:bidi/>
    </w:pPr>
    <w:r>
      <w:rPr>
        <w:sz w:val="15"/>
        <w:color w:val="5A6B7C"/>
        <w:rFonts w:ascii="Arial" w:hAnsi="Arial" w:cs="Arial"/>
        <w:rtl/>
      </w:rPr>
      <w:t xml:space="preserve">نموذج إعلامي مجاني من UpGrowth (upgrowth.dz). لا يُشكل استشارة قانونية. يُكيَّف حسب وضعكم قبل أي استعمال، ويُعرض على مختص إذا اقتضى الأمر.</w:t>
    </w:r>
  </w:p>
</w:ftr>
</file>

<file path=word/numbering.xml><?xml version="1.0" encoding="utf-8"?>
<w:numbering xmlns:w="http://schemas.openxmlformats.org/wordprocessingml/2006/main">
  <w:abstractNum w:abstractNumId="0">
    <w:multiLevelType w:val="hybridMultilevel"/>
    <w:lvl w:ilvl="0">
      <w:start w:val="1"/>
      <w:numFmt w:val="bullet"/>
      <w:lvlText w:val=""/>
      <w:lvlJc w:val="right"/>
      <w:pPr>
        <w:bidi/>
        <w:ind w:right="720" w:hanging="360"/>
      </w:pPr>
      <w:rPr>
        <w:rFonts w:ascii="Symbol" w:hAnsi="Symbol" w:hint="default"/>
      </w:rPr>
    </w:lvl>
  </w:abstractNum>
  <w:abstractNum w:abstractNumId="1">
    <w:multiLevelType w:val="hybridMultilevel"/>
    <w:lvl w:ilvl="0">
      <w:start w:val="1"/>
      <w:numFmt w:val="decimal"/>
      <w:lvlText w:val="%1."/>
      <w:lvlJc w:val="right"/>
      <w:pPr>
        <w:bidi/>
        <w:ind w:right="72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Arial" w:hAnsi="Arial" w:cs="Arial"/>
        <w:sz w:val="22"/>
        <w:szCs w:val="22"/>
        <w:lang w:val="fr-FR" w:bidi="ar-DZ"/>
        <w:rtl/>
      </w:rPr>
    </w:rPrDefault>
    <w:pPrDefault>
      <w:pPr>
        <w:bidi/>
        <w:spacing w:after="120" w:line="276" w:lineRule="auto"/>
        <w:jc w:val="both"/>
      </w:pPr>
    </w:pPrDefault>
  </w:docDefaults>
  <w:style w:type="paragraph" w:default="1" w:styleId="Normal">
    <w:name w:val="Normal"/>
    <w:qFormat/>
  </w:style>
  <w:style w:type="paragraph" w:styleId="Footer">
    <w:name w:val="footer"/>
    <w:pPr>
      <w:bidi/>
      <w:jc w:val="center"/>
      <w:spacing w:after="0"/>
    </w:pPr>
    <w:rPr>
      <w:sz w:val="15"/>
      <w:szCs w:val="15"/>
      <w:color w:val="5A6B7C"/>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footer" Target="footer1.xml"/>
</Relationships>
</file>

<file path=docProps/app.xml><?xml version="1.0" encoding="utf-8"?>
<Properties xmlns="http://schemas.openxmlformats.org/officeDocument/2006/extended-properties" xmlns:vt="http://schemas.openxmlformats.org/officeDocument/2006/docPropsVTypes">
  <Application>UpGrowth Template Generator</Application>
  <Company>UpGrowth</Company>
</Properties>
</file>

<file path=docProps/core.xml><?xml version="1.0" encoding="utf-8"?>
<cp:coreProperties xmlns:cp="http://schemas.openxmlformats.org/package/2006/metadata/core-properties" xmlns:dc="http://purl.org/dc/elements/1.1/" xmlns:dcterms="http://purl.org/dc/terms/" xmlns:xsi="http://www.w3.org/2001/XMLSchema-instance">
  <dc:title>محضر الجمعية العامة العادية، المصادقة على حسابات شركة ذات مسؤولية محدودة</dc:title>
  <dc:subject>نموذج إعلامي لمحضر جمعية عامة عادية لشركة ذات مسؤولية محدودة جزائرية: المصادقة على حسابات السنة المالية، وتخصيص النتيجة مع الاحتياطي القانوني في المادة 721، وصلاحيات إيداع الحسابات لدى المركز الوطني للسجل التجاري.</dc:subject>
  <dc:creator>UpGrowth (upgrowth.dz)</dc:creator>
  <cp:keywords>محضر الجمعية العامة العادية، المصادقة على الحسابات، شركة ذات مسؤولية محدودة، المادة 584، المادة 721، الجزائر، نموذج</cp:keywords>
  <cp:lastModifiedBy>UpGrowth</cp:lastModifiedBy>
  <dcterms:created xsi:type="dcterms:W3CDTF">2026-10-08T00:00:00Z</dcterms:created>
  <dcterms:modified xsi:type="dcterms:W3CDTF">2026-10-08T00:00:00Z</dcterms:modified>
  <dc:language>ar-DZ</dc:language>
</cp:coreProperties>
</file>