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http://schemas.openxmlformats.org/wordprocessingml/2006/main" xmlns:r="http://schemas.openxmlformats.org/officeDocument/2006/relationships">
  <w:body>
    <w:p>
      <w:pPr>
        <w:bidi/>
        <w:jc w:val="center"/>
        <w:spacing w:before="0" w:after="160"/>
      </w:pPr>
      <w:r>
        <w:rPr>
          <w:rFonts w:ascii="Arial" w:hAnsi="Arial" w:cs="Arial"/>
          <w:b/>
          <w:bCs/>
          <w:sz w:val="36"/>
          <w:szCs w:val="36"/>
          <w:color w:val="0B2E4F"/>
          <w:lang w:bidi="ar-DZ"/>
          <w:rtl/>
        </w:rPr>
        <w:t xml:space="preserve">عقد عمل غير محدود المدة</w:t>
      </w:r>
    </w:p>
    <w:p>
      <w:pPr>
        <w:bidi/>
        <w:jc w:val="center"/>
        <w:spacing w:before="0" w:after="240"/>
      </w:pPr>
      <w:r>
        <w:rPr>
          <w:rFonts w:ascii="Arial" w:hAnsi="Arial" w:cs="Arial"/>
          <w:i/>
          <w:iCs/>
          <w:sz w:val="22"/>
          <w:szCs w:val="22"/>
          <w:color w:val="44607A"/>
          <w:lang w:bidi="ar-DZ"/>
          <w:rtl/>
        </w:rPr>
        <w:t xml:space="preserve">نموذج إعلامي، القانون الجزائري، القانون رقم 90-11 المؤرخ في 21 أبريل سنة 1990 المتعلق بعلاقات العمل</w:t>
      </w:r>
    </w:p>
    <w:p>
      <w:pPr>
        <w:bidi/>
        <w:spacing w:before="160" w:after="160"/>
        <w:pBdr>
          <w:top w:val="single" w:sz="6" w:space="6" w:color="1E4E79"/>
          <w:left w:val="single" w:sz="6" w:space="6" w:color="1E4E79"/>
          <w:bottom w:val="single" w:sz="6" w:space="6" w:color="1E4E79"/>
          <w:right w:val="single" w:sz="6" w:space="6" w:color="1E4E79"/>
        </w:pBdr>
        <w:shd w:val="clear" w:color="auto" w:fill="EAF1F8"/>
      </w:pPr>
      <w:r>
        <w:rPr>
          <w:rFonts w:ascii="Arial" w:hAnsi="Arial" w:cs="Arial"/>
          <w:b/>
          <w:bCs/>
          <w:color w:val="0B2E4F"/>
          <w:lang w:bidi="ar-DZ"/>
          <w:rtl/>
        </w:rPr>
        <w:t xml:space="preserve">هذه الوثيقة نموذج إعلامي. وهي لا تُشكل استشارة قانونية، ولا يُؤكد أنها كافية لوضعية بعينها. فالعقد الفعلي يُقرأ مع الاتفاقية الجماعية لفرعكم ومع النظام الداخلي للمؤسسة، وقد يتضمنان أحكاماً أنفع للعامل فتكون هي السارية.</w:t>
      </w:r>
    </w:p>
    <w:p>
      <w:pPr>
        <w:bidi/>
        <w:spacing w:before="260" w:after="120"/>
      </w:pPr>
      <w:r>
        <w:rPr>
          <w:rFonts w:ascii="Arial" w:hAnsi="Arial" w:cs="Arial"/>
          <w:b/>
          <w:bCs/>
          <w:sz w:val="26"/>
          <w:szCs w:val="26"/>
          <w:color w:val="1E4E79"/>
          <w:lang w:bidi="ar-DZ"/>
          <w:rtl/>
        </w:rPr>
        <w:t xml:space="preserve">قبل الملء</w:t>
      </w:r>
    </w:p>
    <w:p>
      <w:pPr>
        <w:bidi/>
        <w:numPr>
          <w:ilvl w:val="0"/>
          <w:numId w:val="1"/>
        </w:numPr>
        <w:spacing w:before="0" w:after="60"/>
      </w:pPr>
      <w:r>
        <w:rPr>
          <w:rFonts w:ascii="Arial" w:hAnsi="Arial" w:cs="Arial"/>
          <w:lang w:bidi="ar-DZ"/>
          <w:rtl/>
        </w:rPr>
        <w:t xml:space="preserve">استبدلوا كل الخانات الموضوعة بين معقوفتين، وهي مظللة في الوثيقة. أعيدوا قراءة الملف بعد ملئه بحثاً عن المعقوفات المتبقية.</w:t>
      </w:r>
    </w:p>
    <w:p>
      <w:pPr>
        <w:bidi/>
        <w:numPr>
          <w:ilvl w:val="0"/>
          <w:numId w:val="1"/>
        </w:numPr>
        <w:spacing w:before="0" w:after="60"/>
      </w:pPr>
      <w:r>
        <w:rPr>
          <w:rFonts w:ascii="Arial" w:hAnsi="Arial" w:cs="Arial"/>
          <w:lang w:bidi="ar-DZ"/>
          <w:rtl/>
        </w:rPr>
        <w:t xml:space="preserve">راجعوا الاتفاقية الجماعية لفرعكم قبل تثبيت المدة التجريبية والإشعار المسبق للاستقالة وزيادات الساعات الإضافية. ففي هذه النقاط الثلاث يضع القانون إطاراً ويُحدد التفاوض الجماعي الرقم المطبق.</w:t>
      </w:r>
    </w:p>
    <w:p>
      <w:pPr>
        <w:bidi/>
        <w:numPr>
          <w:ilvl w:val="0"/>
          <w:numId w:val="1"/>
        </w:numPr>
        <w:spacing w:before="0" w:after="60"/>
      </w:pPr>
      <w:r>
        <w:rPr>
          <w:rFonts w:ascii="Arial" w:hAnsi="Arial" w:cs="Arial"/>
          <w:lang w:bidi="ar-DZ"/>
          <w:rtl/>
        </w:rPr>
        <w:t xml:space="preserve">إذا كنتم تشغلون عشرين عاملاً فأكثر، فالنظام الداخلي إلزامي ويجب إيداعه لدى مفتشية العمل، بنص المادتين 75 و79 من القانون 90-11.</w:t>
      </w:r>
    </w:p>
    <w:p>
      <w:pPr>
        <w:bidi/>
        <w:numPr>
          <w:ilvl w:val="0"/>
          <w:numId w:val="1"/>
        </w:numPr>
        <w:spacing w:before="0" w:after="60"/>
      </w:pPr>
      <w:r>
        <w:rPr>
          <w:rFonts w:ascii="Arial" w:hAnsi="Arial" w:cs="Arial"/>
          <w:lang w:bidi="ar-DZ"/>
          <w:rtl/>
        </w:rPr>
        <w:t xml:space="preserve">بالنسبة للعامل الأجنبي، هذا العقد لا يكفي. فالمادة 21 من القانون 90-11 تُحيل إلى الشروط المحددة في التشريع المعمول به: ورخصة العمل تُطلب على حدة وقبل ذلك.</w:t>
      </w:r>
    </w:p>
    <w:p>
      <w:pPr>
        <w:bidi/>
        <w:numPr>
          <w:ilvl w:val="0"/>
          <w:numId w:val="1"/>
        </w:numPr>
        <w:spacing w:before="0" w:after="60"/>
      </w:pPr>
      <w:r>
        <w:rPr>
          <w:rFonts w:ascii="Arial" w:hAnsi="Arial" w:cs="Arial"/>
          <w:lang w:bidi="ar-DZ"/>
          <w:rtl/>
        </w:rPr>
        <w:t xml:space="preserve">حرّروا نسختين أصليتين موقعتين على الأقل، واحدة لكل طرف.</w:t>
      </w:r>
    </w:p>
    <w:p>
      <w:r>
        <w:br w:type="page"/>
      </w:r>
    </w:p>
    <w:p>
      <w:pPr>
        <w:bidi/>
        <w:spacing w:before="260" w:after="120"/>
      </w:pPr>
      <w:r>
        <w:rPr>
          <w:rFonts w:ascii="Arial" w:hAnsi="Arial" w:cs="Arial"/>
          <w:b/>
          <w:bCs/>
          <w:sz w:val="26"/>
          <w:szCs w:val="26"/>
          <w:color w:val="1E4E79"/>
          <w:lang w:bidi="ar-DZ"/>
          <w:rtl/>
        </w:rPr>
        <w:t xml:space="preserve">بين الموقعين أدناه</w:t>
      </w:r>
    </w:p>
    <w:p>
      <w:pPr>
        <w:bidi/>
        <w:spacing w:before="0" w:after="120"/>
      </w:pPr>
      <w:r>
        <w:rPr>
          <w:rFonts w:ascii="Arial" w:hAnsi="Arial" w:cs="Arial"/>
          <w:b/>
          <w:bCs/>
          <w:lang w:bidi="ar-DZ"/>
          <w:rtl/>
        </w:rPr>
        <w:t xml:space="preserve">المستخدم:</w:t>
      </w:r>
      <w:r>
        <w:rPr>
          <w:rFonts w:ascii="Arial" w:hAnsi="Arial" w:cs="Arial"/>
          <w:lang w:bidi="ar-DZ"/>
          <w:rtl/>
        </w:rPr>
        <w:t xml:space="preserve"> </w:t>
      </w:r>
      <w:r>
        <w:rPr>
          <w:rFonts w:ascii="Arial" w:hAnsi="Arial" w:cs="Arial"/>
          <w:b/>
          <w:bCs/>
          <w:highlight w:val="yellow"/>
          <w:lang w:bidi="ar-DZ"/>
          <w:rtl/>
        </w:rPr>
        <w:t xml:space="preserve">[التسمية الاجتماعية]</w:t>
      </w:r>
      <w:r>
        <w:rPr>
          <w:rFonts w:ascii="Arial" w:hAnsi="Arial" w:cs="Arial"/>
          <w:lang w:bidi="ar-DZ"/>
          <w:rtl/>
        </w:rPr>
        <w:t xml:space="preserve">، </w:t>
      </w:r>
      <w:r>
        <w:rPr>
          <w:rFonts w:ascii="Arial" w:hAnsi="Arial" w:cs="Arial"/>
          <w:b/>
          <w:bCs/>
          <w:highlight w:val="yellow"/>
          <w:lang w:bidi="ar-DZ"/>
          <w:rtl/>
        </w:rPr>
        <w:t xml:space="preserve">[الشكل القانوني]</w:t>
      </w:r>
      <w:r>
        <w:rPr>
          <w:rFonts w:ascii="Arial" w:hAnsi="Arial" w:cs="Arial"/>
          <w:lang w:bidi="ar-DZ"/>
          <w:rtl/>
        </w:rPr>
        <w:t xml:space="preserve">، برأسمال قدره </w:t>
      </w:r>
      <w:r>
        <w:rPr>
          <w:rFonts w:ascii="Arial" w:hAnsi="Arial" w:cs="Arial"/>
          <w:b/>
          <w:bCs/>
          <w:highlight w:val="yellow"/>
          <w:lang w:bidi="ar-DZ"/>
          <w:rtl/>
        </w:rPr>
        <w:t xml:space="preserve">[مبلغ رأس المال]</w:t>
      </w:r>
      <w:r>
        <w:rPr>
          <w:rFonts w:ascii="Arial" w:hAnsi="Arial" w:cs="Arial"/>
          <w:lang w:bidi="ar-DZ"/>
          <w:rtl/>
        </w:rPr>
        <w:t xml:space="preserve"> دج، الكائن مقره الاجتماعي بـ </w:t>
      </w:r>
      <w:r>
        <w:rPr>
          <w:rFonts w:ascii="Arial" w:hAnsi="Arial" w:cs="Arial"/>
          <w:b/>
          <w:bCs/>
          <w:highlight w:val="yellow"/>
          <w:lang w:bidi="ar-DZ"/>
          <w:rtl/>
        </w:rPr>
        <w:t xml:space="preserve">[العنوان الكامل للمقر]</w:t>
      </w:r>
      <w:r>
        <w:rPr>
          <w:rFonts w:ascii="Arial" w:hAnsi="Arial" w:cs="Arial"/>
          <w:lang w:bidi="ar-DZ"/>
          <w:rtl/>
        </w:rPr>
        <w:t xml:space="preserve">، المسجل في السجل التجاري تحت رقم </w:t>
      </w:r>
      <w:r>
        <w:rPr>
          <w:rFonts w:ascii="Arial" w:hAnsi="Arial" w:cs="Arial"/>
          <w:b/>
          <w:bCs/>
          <w:highlight w:val="yellow"/>
          <w:lang w:bidi="ar-DZ"/>
          <w:rtl/>
        </w:rPr>
        <w:t xml:space="preserve">[رقم السجل التجاري]</w:t>
      </w:r>
      <w:r>
        <w:rPr>
          <w:rFonts w:ascii="Arial" w:hAnsi="Arial" w:cs="Arial"/>
          <w:lang w:bidi="ar-DZ"/>
          <w:rtl/>
        </w:rPr>
        <w:t xml:space="preserve">، رقم التعريف الجبائي </w:t>
      </w:r>
      <w:r>
        <w:rPr>
          <w:rFonts w:ascii="Arial" w:hAnsi="Arial" w:cs="Arial"/>
          <w:b/>
          <w:bCs/>
          <w:highlight w:val="yellow"/>
          <w:lang w:bidi="ar-DZ"/>
          <w:rtl/>
        </w:rPr>
        <w:t xml:space="preserve">[رقم التعريف الجبائي]</w:t>
      </w:r>
      <w:r>
        <w:rPr>
          <w:rFonts w:ascii="Arial" w:hAnsi="Arial" w:cs="Arial"/>
          <w:lang w:bidi="ar-DZ"/>
          <w:rtl/>
        </w:rPr>
        <w:t xml:space="preserve">، ويمثله </w:t>
      </w:r>
      <w:r>
        <w:rPr>
          <w:rFonts w:ascii="Arial" w:hAnsi="Arial" w:cs="Arial"/>
          <w:b/>
          <w:bCs/>
          <w:highlight w:val="yellow"/>
          <w:lang w:bidi="ar-DZ"/>
          <w:rtl/>
        </w:rPr>
        <w:t xml:space="preserve">[الاسم واللقب للممثل القانوني]</w:t>
      </w:r>
      <w:r>
        <w:rPr>
          <w:rFonts w:ascii="Arial" w:hAnsi="Arial" w:cs="Arial"/>
          <w:lang w:bidi="ar-DZ"/>
          <w:rtl/>
        </w:rPr>
        <w:t xml:space="preserve"> بصفته </w:t>
      </w:r>
      <w:r>
        <w:rPr>
          <w:rFonts w:ascii="Arial" w:hAnsi="Arial" w:cs="Arial"/>
          <w:b/>
          <w:bCs/>
          <w:highlight w:val="yellow"/>
          <w:lang w:bidi="ar-DZ"/>
          <w:rtl/>
        </w:rPr>
        <w:t xml:space="preserve">[صفة الممثل]</w:t>
      </w:r>
      <w:r>
        <w:rPr>
          <w:rFonts w:ascii="Arial" w:hAnsi="Arial" w:cs="Arial"/>
          <w:lang w:bidi="ar-DZ"/>
          <w:rtl/>
        </w:rPr>
        <w:t xml:space="preserve">،</w:t>
      </w:r>
    </w:p>
    <w:p>
      <w:pPr>
        <w:bidi/>
        <w:spacing w:before="0" w:after="120"/>
      </w:pPr>
      <w:r>
        <w:rPr>
          <w:rFonts w:ascii="Arial" w:hAnsi="Arial" w:cs="Arial"/>
          <w:lang w:bidi="ar-DZ"/>
          <w:rtl/>
        </w:rPr>
        <w:t xml:space="preserve">ويُدعى في ما يلي المستخدم، من جهة،</w:t>
      </w:r>
    </w:p>
    <w:p>
      <w:pPr>
        <w:bidi/>
        <w:spacing w:before="0" w:after="60"/>
      </w:pPr>
    </w:p>
    <w:p>
      <w:pPr>
        <w:bidi/>
        <w:spacing w:before="0" w:after="120"/>
      </w:pPr>
      <w:r>
        <w:rPr>
          <w:rFonts w:ascii="Arial" w:hAnsi="Arial" w:cs="Arial"/>
          <w:b/>
          <w:bCs/>
          <w:lang w:bidi="ar-DZ"/>
          <w:rtl/>
        </w:rPr>
        <w:t xml:space="preserve">العامل:</w:t>
      </w:r>
      <w:r>
        <w:rPr>
          <w:rFonts w:ascii="Arial" w:hAnsi="Arial" w:cs="Arial"/>
          <w:lang w:bidi="ar-DZ"/>
          <w:rtl/>
        </w:rPr>
        <w:t xml:space="preserve"> </w:t>
      </w:r>
      <w:r>
        <w:rPr>
          <w:rFonts w:ascii="Arial" w:hAnsi="Arial" w:cs="Arial"/>
          <w:b/>
          <w:bCs/>
          <w:highlight w:val="yellow"/>
          <w:lang w:bidi="ar-DZ"/>
          <w:rtl/>
        </w:rPr>
        <w:t xml:space="preserve">[الاسم واللقب للعامل]</w:t>
      </w:r>
      <w:r>
        <w:rPr>
          <w:rFonts w:ascii="Arial" w:hAnsi="Arial" w:cs="Arial"/>
          <w:lang w:bidi="ar-DZ"/>
          <w:rtl/>
        </w:rPr>
        <w:t xml:space="preserve">، المولود في </w:t>
      </w:r>
      <w:r>
        <w:rPr>
          <w:rFonts w:ascii="Arial" w:hAnsi="Arial" w:cs="Arial"/>
          <w:b/>
          <w:bCs/>
          <w:highlight w:val="yellow"/>
          <w:lang w:bidi="ar-DZ"/>
          <w:rtl/>
        </w:rPr>
        <w:t xml:space="preserve">[تاريخ الميلاد]</w:t>
      </w:r>
      <w:r>
        <w:rPr>
          <w:rFonts w:ascii="Arial" w:hAnsi="Arial" w:cs="Arial"/>
          <w:lang w:bidi="ar-DZ"/>
          <w:rtl/>
        </w:rPr>
        <w:t xml:space="preserve"> بـ </w:t>
      </w:r>
      <w:r>
        <w:rPr>
          <w:rFonts w:ascii="Arial" w:hAnsi="Arial" w:cs="Arial"/>
          <w:b/>
          <w:bCs/>
          <w:highlight w:val="yellow"/>
          <w:lang w:bidi="ar-DZ"/>
          <w:rtl/>
        </w:rPr>
        <w:t xml:space="preserve">[مكان الميلاد]</w:t>
      </w:r>
      <w:r>
        <w:rPr>
          <w:rFonts w:ascii="Arial" w:hAnsi="Arial" w:cs="Arial"/>
          <w:lang w:bidi="ar-DZ"/>
          <w:rtl/>
        </w:rPr>
        <w:t xml:space="preserve">، الجنسية </w:t>
      </w:r>
      <w:r>
        <w:rPr>
          <w:rFonts w:ascii="Arial" w:hAnsi="Arial" w:cs="Arial"/>
          <w:b/>
          <w:bCs/>
          <w:highlight w:val="yellow"/>
          <w:lang w:bidi="ar-DZ"/>
          <w:rtl/>
        </w:rPr>
        <w:t xml:space="preserve">[الجنسية]</w:t>
      </w:r>
      <w:r>
        <w:rPr>
          <w:rFonts w:ascii="Arial" w:hAnsi="Arial" w:cs="Arial"/>
          <w:lang w:bidi="ar-DZ"/>
          <w:rtl/>
        </w:rPr>
        <w:t xml:space="preserve">، الساكن بـ </w:t>
      </w:r>
      <w:r>
        <w:rPr>
          <w:rFonts w:ascii="Arial" w:hAnsi="Arial" w:cs="Arial"/>
          <w:b/>
          <w:bCs/>
          <w:highlight w:val="yellow"/>
          <w:lang w:bidi="ar-DZ"/>
          <w:rtl/>
        </w:rPr>
        <w:t xml:space="preserve">[العنوان الكامل للعامل]</w:t>
      </w:r>
      <w:r>
        <w:rPr>
          <w:rFonts w:ascii="Arial" w:hAnsi="Arial" w:cs="Arial"/>
          <w:lang w:bidi="ar-DZ"/>
          <w:rtl/>
        </w:rPr>
        <w:t xml:space="preserve">، حامل بطاقة الهوية رقم </w:t>
      </w:r>
      <w:r>
        <w:rPr>
          <w:rFonts w:ascii="Arial" w:hAnsi="Arial" w:cs="Arial"/>
          <w:b/>
          <w:bCs/>
          <w:highlight w:val="yellow"/>
          <w:lang w:bidi="ar-DZ"/>
          <w:rtl/>
        </w:rPr>
        <w:t xml:space="preserve">[رقم بطاقة الهوية]</w:t>
      </w:r>
      <w:r>
        <w:rPr>
          <w:rFonts w:ascii="Arial" w:hAnsi="Arial" w:cs="Arial"/>
          <w:lang w:bidi="ar-DZ"/>
          <w:rtl/>
        </w:rPr>
        <w:t xml:space="preserve">، رقم الضمان الاجتماعي </w:t>
      </w:r>
      <w:r>
        <w:rPr>
          <w:rFonts w:ascii="Arial" w:hAnsi="Arial" w:cs="Arial"/>
          <w:b/>
          <w:bCs/>
          <w:highlight w:val="yellow"/>
          <w:lang w:bidi="ar-DZ"/>
          <w:rtl/>
        </w:rPr>
        <w:t xml:space="preserve">[رقم الضمان الاجتماعي]</w:t>
      </w:r>
      <w:r>
        <w:rPr>
          <w:rFonts w:ascii="Arial" w:hAnsi="Arial" w:cs="Arial"/>
          <w:lang w:bidi="ar-DZ"/>
          <w:rtl/>
        </w:rPr>
        <w:t xml:space="preserve">،</w:t>
      </w:r>
    </w:p>
    <w:p>
      <w:pPr>
        <w:bidi/>
        <w:spacing w:before="0" w:after="120"/>
      </w:pPr>
      <w:r>
        <w:rPr>
          <w:rFonts w:ascii="Arial" w:hAnsi="Arial" w:cs="Arial"/>
          <w:lang w:bidi="ar-DZ"/>
          <w:rtl/>
        </w:rPr>
        <w:t xml:space="preserve">ويُدعى في ما يلي العامل، من جهة أخرى،</w:t>
      </w:r>
    </w:p>
    <w:p>
      <w:pPr>
        <w:bidi/>
        <w:spacing w:before="0" w:after="60"/>
      </w:pPr>
    </w:p>
    <w:p>
      <w:pPr>
        <w:bidi/>
        <w:spacing w:before="0" w:after="120"/>
      </w:pPr>
      <w:r>
        <w:rPr>
          <w:rFonts w:ascii="Arial" w:hAnsi="Arial" w:cs="Arial"/>
          <w:lang w:bidi="ar-DZ"/>
          <w:rtl/>
        </w:rPr>
        <w:t xml:space="preserve">تم الاتفاق على ما يأتي.</w:t>
      </w:r>
    </w:p>
    <w:p>
      <w:pPr>
        <w:bidi/>
        <w:spacing w:before="260" w:after="120"/>
      </w:pPr>
      <w:r>
        <w:rPr>
          <w:rFonts w:ascii="Arial" w:hAnsi="Arial" w:cs="Arial"/>
          <w:b/>
          <w:bCs/>
          <w:sz w:val="26"/>
          <w:szCs w:val="26"/>
          <w:color w:val="1E4E79"/>
          <w:lang w:bidi="ar-DZ"/>
          <w:rtl/>
        </w:rPr>
        <w:t xml:space="preserve">المادة 1: موضوع العقد وطبيعته</w:t>
      </w:r>
    </w:p>
    <w:p>
      <w:pPr>
        <w:bidi/>
        <w:spacing w:before="0" w:after="120"/>
      </w:pPr>
      <w:r>
        <w:rPr>
          <w:rFonts w:ascii="Arial" w:hAnsi="Arial" w:cs="Arial"/>
          <w:lang w:bidi="ar-DZ"/>
          <w:rtl/>
        </w:rPr>
        <w:t xml:space="preserve">يوظف المستخدم العامل، الذي يقبل ذلك، في إطار عقد عمل غير محدود المدة يحكمه القانون رقم 90-11 المؤرخ في 21 أبريل سنة 1990، المعدل والمتمم، المتعلق بعلاقات العمل.</w:t>
      </w:r>
    </w:p>
    <w:p>
      <w:pPr>
        <w:bidi/>
        <w:spacing w:before="0" w:after="100"/>
      </w:pPr>
      <w:r>
        <w:rPr>
          <w:rFonts w:ascii="Arial" w:hAnsi="Arial" w:cs="Arial"/>
          <w:i/>
          <w:iCs/>
          <w:sz w:val="16"/>
          <w:szCs w:val="16"/>
          <w:color w:val="5A6B7C"/>
          <w:lang w:bidi="ar-DZ"/>
          <w:rtl/>
        </w:rPr>
        <w:t xml:space="preserve">السند القانوني: المادة 11 من القانون 90-11، يعتبر العقد مبرماً لمدة غير محدودة إلا إذا نُص على غير ذلك كتابةً.</w:t>
      </w:r>
    </w:p>
    <w:p>
      <w:pPr>
        <w:bidi/>
        <w:spacing w:before="260" w:after="120"/>
      </w:pPr>
      <w:r>
        <w:rPr>
          <w:rFonts w:ascii="Arial" w:hAnsi="Arial" w:cs="Arial"/>
          <w:b/>
          <w:bCs/>
          <w:sz w:val="26"/>
          <w:szCs w:val="26"/>
          <w:color w:val="1E4E79"/>
          <w:lang w:bidi="ar-DZ"/>
          <w:rtl/>
        </w:rPr>
        <w:t xml:space="preserve">المادة 2: تاريخ سريان العقد</w:t>
      </w:r>
    </w:p>
    <w:p>
      <w:pPr>
        <w:bidi/>
        <w:spacing w:before="0" w:after="120"/>
      </w:pPr>
      <w:r>
        <w:rPr>
          <w:rFonts w:ascii="Arial" w:hAnsi="Arial" w:cs="Arial"/>
          <w:lang w:bidi="ar-DZ"/>
          <w:rtl/>
        </w:rPr>
        <w:t xml:space="preserve">يسري هذا العقد ابتداءً من </w:t>
      </w:r>
      <w:r>
        <w:rPr>
          <w:rFonts w:ascii="Arial" w:hAnsi="Arial" w:cs="Arial"/>
          <w:b/>
          <w:bCs/>
          <w:highlight w:val="yellow"/>
          <w:lang w:bidi="ar-DZ"/>
          <w:rtl/>
        </w:rPr>
        <w:t xml:space="preserve">[تاريخ سريان العقد]</w:t>
      </w:r>
      <w:r>
        <w:rPr>
          <w:rFonts w:ascii="Arial" w:hAnsi="Arial" w:cs="Arial"/>
          <w:lang w:bidi="ar-DZ"/>
          <w:rtl/>
        </w:rPr>
        <w:t xml:space="preserve">. ويُعد هذا التاريخ تاريخ التوظيف لحساب الأقدمية ولحساب العطلة السنوية.</w:t>
      </w:r>
    </w:p>
    <w:p>
      <w:pPr>
        <w:bidi/>
        <w:spacing w:before="0" w:after="100"/>
      </w:pPr>
      <w:r>
        <w:rPr>
          <w:rFonts w:ascii="Arial" w:hAnsi="Arial" w:cs="Arial"/>
          <w:i/>
          <w:iCs/>
          <w:sz w:val="16"/>
          <w:szCs w:val="16"/>
          <w:color w:val="5A6B7C"/>
          <w:lang w:bidi="ar-DZ"/>
          <w:rtl/>
        </w:rPr>
        <w:t xml:space="preserve">السند القانوني: المادتان 19 و40 من القانون 90-11.</w:t>
      </w:r>
    </w:p>
    <w:p>
      <w:pPr>
        <w:bidi/>
        <w:spacing w:before="260" w:after="120"/>
      </w:pPr>
      <w:r>
        <w:rPr>
          <w:rFonts w:ascii="Arial" w:hAnsi="Arial" w:cs="Arial"/>
          <w:b/>
          <w:bCs/>
          <w:sz w:val="26"/>
          <w:szCs w:val="26"/>
          <w:color w:val="1E4E79"/>
          <w:lang w:bidi="ar-DZ"/>
          <w:rtl/>
        </w:rPr>
        <w:t xml:space="preserve">المادة 3: المدة التجريبية</w:t>
      </w:r>
    </w:p>
    <w:p>
      <w:pPr>
        <w:bidi/>
        <w:spacing w:before="0" w:after="120"/>
      </w:pPr>
      <w:r>
        <w:rPr>
          <w:rFonts w:ascii="Arial" w:hAnsi="Arial" w:cs="Arial"/>
          <w:lang w:bidi="ar-DZ"/>
          <w:rtl/>
        </w:rPr>
        <w:t xml:space="preserve">يخضع العامل لمدة تجريبية قدرها </w:t>
      </w:r>
      <w:r>
        <w:rPr>
          <w:rFonts w:ascii="Arial" w:hAnsi="Arial" w:cs="Arial"/>
          <w:b/>
          <w:bCs/>
          <w:highlight w:val="yellow"/>
          <w:lang w:bidi="ar-DZ"/>
          <w:rtl/>
        </w:rPr>
        <w:t xml:space="preserve">[مدة الفترة التجريبية]</w:t>
      </w:r>
      <w:r>
        <w:rPr>
          <w:rFonts w:ascii="Arial" w:hAnsi="Arial" w:cs="Arial"/>
          <w:lang w:bidi="ar-DZ"/>
          <w:rtl/>
        </w:rPr>
        <w:t xml:space="preserve"> ابتداءً من تاريخ سريان العقد.</w:t>
      </w:r>
    </w:p>
    <w:p>
      <w:pPr>
        <w:bidi/>
        <w:spacing w:before="0" w:after="120"/>
      </w:pPr>
      <w:r>
        <w:rPr>
          <w:rFonts w:ascii="Arial" w:hAnsi="Arial" w:cs="Arial"/>
          <w:lang w:bidi="ar-DZ"/>
          <w:rtl/>
        </w:rPr>
        <w:t xml:space="preserve">ويجوز لأحد الطرفين خلال هذه المدة أن يفسخ علاقة العمل في أي وقت دون تعويض ومن غير إشعار مسبق. ويتمتع العامل بنفس الحقوق التي يتمتع بها العمال الذين يشغلون مناصب عمل مماثلة ويخضع لنفس الواجبات، وتؤخذ هذه المدة بعين الاعتبار في حساب الأقدمية عندما يُثبت في منصبه إثر انتهاء الفترة التجريبية.</w:t>
      </w:r>
    </w:p>
    <w:p>
      <w:pPr>
        <w:bidi/>
        <w:spacing w:before="0" w:after="100"/>
      </w:pPr>
      <w:r>
        <w:rPr>
          <w:rFonts w:ascii="Arial" w:hAnsi="Arial" w:cs="Arial"/>
          <w:i/>
          <w:iCs/>
          <w:sz w:val="16"/>
          <w:szCs w:val="16"/>
          <w:color w:val="5A6B7C"/>
          <w:lang w:bidi="ar-DZ"/>
          <w:rtl/>
        </w:rPr>
        <w:t xml:space="preserve">السند القانوني: المواد 18 و19 و20 من القانون 90-11. وتُحيل المادة 18 تحديد المدة إلى التفاوض الجماعي، لكل فئة من فئات العمال أو لمجموع العمال: انقلوا مدة اتفاقية فرعكم.</w:t>
      </w:r>
    </w:p>
    <w:p>
      <w:pPr>
        <w:bidi/>
        <w:spacing w:before="0" w:after="100"/>
      </w:pPr>
      <w:r>
        <w:rPr>
          <w:rFonts w:ascii="Arial" w:hAnsi="Arial" w:cs="Arial"/>
          <w:i/>
          <w:iCs/>
          <w:sz w:val="16"/>
          <w:szCs w:val="16"/>
          <w:color w:val="5A6B7C"/>
          <w:lang w:bidi="ar-DZ"/>
          <w:rtl/>
        </w:rPr>
        <w:t xml:space="preserve">ملاحظة قراءة: الطبعة العربية الأصلية من الجريدة الرسمية عدد 17 المؤرخة في 25 أبريل سنة 1990، الصفحة 564، تُحدد سقف هذه المدة بستة أشهر، تُرفع إلى اثني عشر شهراً لمناصب التأهيل العالي. أما الطبعة الفرنسية من العدد نفسه، الصفحة 490، فتطبع عشرة أشهر في المادة نفسها. وتتفق الطبعتان على الاثني عشر شهراً وعلى الإحالة إلى التفاوض الجماعي. انظروا upgrowth.dz/ar/modele-contrat-travail-cdi-algerie.</w:t>
      </w:r>
    </w:p>
    <w:p>
      <w:pPr>
        <w:bidi/>
        <w:spacing w:before="260" w:after="120"/>
      </w:pPr>
      <w:r>
        <w:rPr>
          <w:rFonts w:ascii="Arial" w:hAnsi="Arial" w:cs="Arial"/>
          <w:b/>
          <w:bCs/>
          <w:sz w:val="26"/>
          <w:szCs w:val="26"/>
          <w:color w:val="1E4E79"/>
          <w:lang w:bidi="ar-DZ"/>
          <w:rtl/>
        </w:rPr>
        <w:t xml:space="preserve">المادة 4: المهام والتصنيف المهني</w:t>
      </w:r>
    </w:p>
    <w:p>
      <w:pPr>
        <w:bidi/>
        <w:spacing w:before="0" w:after="120"/>
      </w:pPr>
      <w:r>
        <w:rPr>
          <w:rFonts w:ascii="Arial" w:hAnsi="Arial" w:cs="Arial"/>
          <w:lang w:bidi="ar-DZ"/>
          <w:rtl/>
        </w:rPr>
        <w:t xml:space="preserve">يُوظف العامل بصفة </w:t>
      </w:r>
      <w:r>
        <w:rPr>
          <w:rFonts w:ascii="Arial" w:hAnsi="Arial" w:cs="Arial"/>
          <w:b/>
          <w:bCs/>
          <w:highlight w:val="yellow"/>
          <w:lang w:bidi="ar-DZ"/>
          <w:rtl/>
        </w:rPr>
        <w:t xml:space="preserve">[تسمية منصب العمل]</w:t>
      </w:r>
      <w:r>
        <w:rPr>
          <w:rFonts w:ascii="Arial" w:hAnsi="Arial" w:cs="Arial"/>
          <w:lang w:bidi="ar-DZ"/>
          <w:rtl/>
        </w:rPr>
        <w:t xml:space="preserve">، مصنفاً في </w:t>
      </w:r>
      <w:r>
        <w:rPr>
          <w:rFonts w:ascii="Arial" w:hAnsi="Arial" w:cs="Arial"/>
          <w:b/>
          <w:bCs/>
          <w:highlight w:val="yellow"/>
          <w:lang w:bidi="ar-DZ"/>
          <w:rtl/>
        </w:rPr>
        <w:t xml:space="preserve">[الصنف أو التصنيف المهني]</w:t>
      </w:r>
      <w:r>
        <w:rPr>
          <w:rFonts w:ascii="Arial" w:hAnsi="Arial" w:cs="Arial"/>
          <w:lang w:bidi="ar-DZ"/>
          <w:rtl/>
        </w:rPr>
        <w:t xml:space="preserve"> حسب التصنيف المهني المعمول به لدى المستخدم.</w:t>
      </w:r>
    </w:p>
    <w:p>
      <w:pPr>
        <w:bidi/>
        <w:spacing w:before="0" w:after="120"/>
      </w:pPr>
      <w:r>
        <w:rPr>
          <w:rFonts w:ascii="Arial" w:hAnsi="Arial" w:cs="Arial"/>
          <w:lang w:bidi="ar-DZ"/>
          <w:rtl/>
        </w:rPr>
        <w:t xml:space="preserve">ويمارس مهامه تحت سلطة السلطة السلمية التي يُعينها المستخدم وحسب تعليماتها، في إطار تنظيم العمل الذي يضعه هذا الأخير.</w:t>
      </w:r>
    </w:p>
    <w:p>
      <w:pPr>
        <w:bidi/>
        <w:spacing w:before="0" w:after="100"/>
      </w:pPr>
      <w:r>
        <w:rPr>
          <w:rFonts w:ascii="Arial" w:hAnsi="Arial" w:cs="Arial"/>
          <w:i/>
          <w:iCs/>
          <w:sz w:val="16"/>
          <w:szCs w:val="16"/>
          <w:color w:val="5A6B7C"/>
          <w:lang w:bidi="ar-DZ"/>
          <w:rtl/>
        </w:rPr>
        <w:t xml:space="preserve">السند القانوني: المادتان 6 و7 من القانون 90-11، والمادة 81 لربط الأجر الأساسي بالتصنيف المهني.</w:t>
      </w:r>
    </w:p>
    <w:p>
      <w:pPr>
        <w:bidi/>
        <w:spacing w:before="260" w:after="120"/>
      </w:pPr>
      <w:r>
        <w:rPr>
          <w:rFonts w:ascii="Arial" w:hAnsi="Arial" w:cs="Arial"/>
          <w:b/>
          <w:bCs/>
          <w:sz w:val="26"/>
          <w:szCs w:val="26"/>
          <w:color w:val="1E4E79"/>
          <w:lang w:bidi="ar-DZ"/>
          <w:rtl/>
        </w:rPr>
        <w:t xml:space="preserve">المادة 5: مكان العمل</w:t>
      </w:r>
    </w:p>
    <w:p>
      <w:pPr>
        <w:bidi/>
        <w:spacing w:before="0" w:after="120"/>
      </w:pPr>
      <w:r>
        <w:rPr>
          <w:rFonts w:ascii="Arial" w:hAnsi="Arial" w:cs="Arial"/>
          <w:lang w:bidi="ar-DZ"/>
          <w:rtl/>
        </w:rPr>
        <w:t xml:space="preserve">يمارس العامل مهامه بـ </w:t>
      </w:r>
      <w:r>
        <w:rPr>
          <w:rFonts w:ascii="Arial" w:hAnsi="Arial" w:cs="Arial"/>
          <w:b/>
          <w:bCs/>
          <w:highlight w:val="yellow"/>
          <w:lang w:bidi="ar-DZ"/>
          <w:rtl/>
        </w:rPr>
        <w:t xml:space="preserve">[مكان العمل والعنوان الكامل]</w:t>
      </w:r>
      <w:r>
        <w:rPr>
          <w:rFonts w:ascii="Arial" w:hAnsi="Arial" w:cs="Arial"/>
          <w:lang w:bidi="ar-DZ"/>
          <w:rtl/>
        </w:rPr>
        <w:t xml:space="preserve">. وكل تغيير لمكان العمل يكون محل اتفاق كتابي بين الطرفين.</w:t>
      </w:r>
    </w:p>
    <w:p>
      <w:pPr>
        <w:bidi/>
        <w:spacing w:before="0" w:after="100"/>
      </w:pPr>
      <w:r>
        <w:rPr>
          <w:rFonts w:ascii="Arial" w:hAnsi="Arial" w:cs="Arial"/>
          <w:i/>
          <w:iCs/>
          <w:sz w:val="16"/>
          <w:szCs w:val="16"/>
          <w:color w:val="5A6B7C"/>
          <w:lang w:bidi="ar-DZ"/>
          <w:rtl/>
        </w:rPr>
        <w:t xml:space="preserve">بند عُرفي. وتنص المادة 63 من القانون 90-11 على أنه يمكن تعديل شروط عقد العمل وطبيعته بناءً على الإرادة المشتركة للعامل والمستخدم.</w:t>
      </w:r>
    </w:p>
    <w:p>
      <w:pPr>
        <w:bidi/>
        <w:spacing w:before="260" w:after="120"/>
      </w:pPr>
      <w:r>
        <w:rPr>
          <w:rFonts w:ascii="Arial" w:hAnsi="Arial" w:cs="Arial"/>
          <w:b/>
          <w:bCs/>
          <w:sz w:val="26"/>
          <w:szCs w:val="26"/>
          <w:color w:val="1E4E79"/>
          <w:lang w:bidi="ar-DZ"/>
          <w:rtl/>
        </w:rPr>
        <w:t xml:space="preserve">المادة 6: مدة العمل</w:t>
      </w:r>
    </w:p>
    <w:p>
      <w:pPr>
        <w:bidi/>
        <w:spacing w:before="0" w:after="120"/>
      </w:pPr>
      <w:r>
        <w:rPr>
          <w:rFonts w:ascii="Arial" w:hAnsi="Arial" w:cs="Arial"/>
          <w:lang w:bidi="ar-DZ"/>
          <w:rtl/>
        </w:rPr>
        <w:t xml:space="preserve">تُحدد المدة القانونية الأسبوعية للعمل بأربعين ساعة في ظروف العمل العادية، وتُوزع على خمسة أيام عمل على الأقل. والتوقيت المطبق على العامل هو </w:t>
      </w:r>
      <w:r>
        <w:rPr>
          <w:rFonts w:ascii="Arial" w:hAnsi="Arial" w:cs="Arial"/>
          <w:b/>
          <w:bCs/>
          <w:highlight w:val="yellow"/>
          <w:lang w:bidi="ar-DZ"/>
          <w:rtl/>
        </w:rPr>
        <w:t xml:space="preserve">[التوقيت المطبق]</w:t>
      </w:r>
      <w:r>
        <w:rPr>
          <w:rFonts w:ascii="Arial" w:hAnsi="Arial" w:cs="Arial"/>
          <w:lang w:bidi="ar-DZ"/>
          <w:rtl/>
        </w:rPr>
        <w:t xml:space="preserve">.</w:t>
      </w:r>
    </w:p>
    <w:p>
      <w:pPr>
        <w:bidi/>
        <w:spacing w:before="0" w:after="120"/>
      </w:pPr>
      <w:r>
        <w:rPr>
          <w:rFonts w:ascii="Arial" w:hAnsi="Arial" w:cs="Arial"/>
          <w:lang w:bidi="ar-DZ"/>
          <w:rtl/>
        </w:rPr>
        <w:t xml:space="preserve">ولا تتجاوز مدة العمل اليومي الفعلي، في أي حال من الأحوال، اثنتي عشرة ساعة. وإذا كانت ساعات العمل مؤداة حسب نظام الدوام المستمر، يُخصص المستخدم وقتاً للاستراحة لا يتجاوز ساعة واحدة، وتُعتبر نصف ساعة منها وقت عمل فعلي.</w:t>
      </w:r>
    </w:p>
    <w:p>
      <w:pPr>
        <w:bidi/>
        <w:spacing w:before="0" w:after="100"/>
      </w:pPr>
      <w:r>
        <w:rPr>
          <w:rFonts w:ascii="Arial" w:hAnsi="Arial" w:cs="Arial"/>
          <w:i/>
          <w:iCs/>
          <w:sz w:val="16"/>
          <w:szCs w:val="16"/>
          <w:color w:val="5A6B7C"/>
          <w:lang w:bidi="ar-DZ"/>
          <w:rtl/>
        </w:rPr>
        <w:t xml:space="preserve">السند القانوني: المواد 2 و6 و7 من الأمر رقم 97-03 المؤرخ في 11 يناير سنة 1997 الذي يحدد المدة القانونية للعمل. وتُلغي مادته 8 المواد من 22 إلى 26 من القانون 90-11: لا تستشهدوا بعد اليوم بالمادة 22 لتحديد مدة العمل.</w:t>
      </w:r>
    </w:p>
    <w:p>
      <w:pPr>
        <w:bidi/>
        <w:spacing w:before="260" w:after="120"/>
      </w:pPr>
      <w:r>
        <w:rPr>
          <w:rFonts w:ascii="Arial" w:hAnsi="Arial" w:cs="Arial"/>
          <w:b/>
          <w:bCs/>
          <w:sz w:val="26"/>
          <w:szCs w:val="26"/>
          <w:color w:val="1E4E79"/>
          <w:lang w:bidi="ar-DZ"/>
          <w:rtl/>
        </w:rPr>
        <w:t xml:space="preserve">المادة 7: الساعات الإضافية</w:t>
      </w:r>
    </w:p>
    <w:p>
      <w:pPr>
        <w:bidi/>
        <w:spacing w:before="0" w:after="120"/>
      </w:pPr>
      <w:r>
        <w:rPr>
          <w:rFonts w:ascii="Arial" w:hAnsi="Arial" w:cs="Arial"/>
          <w:lang w:bidi="ar-DZ"/>
          <w:rtl/>
        </w:rPr>
        <w:t xml:space="preserve">يكون اللجوء إلى الساعات الإضافية استجابةً لضرورة مطلقة في الخدمة ويكتسي طابعاً استثنائياً، ولا تتعدى هذه الساعات عشرين بالمائة من المدة القانونية للعمل.</w:t>
      </w:r>
    </w:p>
    <w:p>
      <w:pPr>
        <w:bidi/>
        <w:spacing w:before="0" w:after="120"/>
      </w:pPr>
      <w:r>
        <w:rPr>
          <w:rFonts w:ascii="Arial" w:hAnsi="Arial" w:cs="Arial"/>
          <w:lang w:bidi="ar-DZ"/>
          <w:rtl/>
        </w:rPr>
        <w:t xml:space="preserve">ويُخول أداء ساعات إضافية الحق في زيادة لا تقل بأي حال من الأحوال عن خمسين بالمائة من الأجر العادي للساعة. والنسبة المطبقة في المؤسسة هي </w:t>
      </w:r>
      <w:r>
        <w:rPr>
          <w:rFonts w:ascii="Arial" w:hAnsi="Arial" w:cs="Arial"/>
          <w:b/>
          <w:bCs/>
          <w:highlight w:val="yellow"/>
          <w:lang w:bidi="ar-DZ"/>
          <w:rtl/>
        </w:rPr>
        <w:t xml:space="preserve">[نسبة الزيادة المطبقة]</w:t>
      </w:r>
      <w:r>
        <w:rPr>
          <w:rFonts w:ascii="Arial" w:hAnsi="Arial" w:cs="Arial"/>
          <w:lang w:bidi="ar-DZ"/>
          <w:rtl/>
        </w:rPr>
        <w:t xml:space="preserve">.</w:t>
      </w:r>
    </w:p>
    <w:p>
      <w:pPr>
        <w:bidi/>
        <w:spacing w:before="0" w:after="100"/>
      </w:pPr>
      <w:r>
        <w:rPr>
          <w:rFonts w:ascii="Arial" w:hAnsi="Arial" w:cs="Arial"/>
          <w:i/>
          <w:iCs/>
          <w:sz w:val="16"/>
          <w:szCs w:val="16"/>
          <w:color w:val="5A6B7C"/>
          <w:lang w:bidi="ar-DZ"/>
          <w:rtl/>
        </w:rPr>
        <w:t xml:space="preserve">السند القانوني: المادتان 31 و32 من القانون 90-11، وقد أُتممت المادة 31 بالأمر رقم 96-21 المؤرخ في 9 يوليو سنة 1996.</w:t>
      </w:r>
    </w:p>
    <w:p>
      <w:pPr>
        <w:bidi/>
        <w:spacing w:before="260" w:after="120"/>
      </w:pPr>
      <w:r>
        <w:rPr>
          <w:rFonts w:ascii="Arial" w:hAnsi="Arial" w:cs="Arial"/>
          <w:b/>
          <w:bCs/>
          <w:sz w:val="26"/>
          <w:szCs w:val="26"/>
          <w:color w:val="1E4E79"/>
          <w:lang w:bidi="ar-DZ"/>
          <w:rtl/>
        </w:rPr>
        <w:t xml:space="preserve">المادة 8: الأجر</w:t>
      </w:r>
    </w:p>
    <w:p>
      <w:pPr>
        <w:bidi/>
        <w:spacing w:before="0" w:after="120"/>
      </w:pPr>
      <w:r>
        <w:rPr>
          <w:rFonts w:ascii="Arial" w:hAnsi="Arial" w:cs="Arial"/>
          <w:lang w:bidi="ar-DZ"/>
          <w:rtl/>
        </w:rPr>
        <w:t xml:space="preserve">مقابل العمل المؤدى، يتقاضى العامل أجراً أساسياً شهرياً إجمالياً قدره </w:t>
      </w:r>
      <w:r>
        <w:rPr>
          <w:rFonts w:ascii="Arial" w:hAnsi="Arial" w:cs="Arial"/>
          <w:b/>
          <w:bCs/>
          <w:highlight w:val="yellow"/>
          <w:lang w:bidi="ar-DZ"/>
          <w:rtl/>
        </w:rPr>
        <w:t xml:space="preserve">[مبلغ الأجر الأساسي]</w:t>
      </w:r>
      <w:r>
        <w:rPr>
          <w:rFonts w:ascii="Arial" w:hAnsi="Arial" w:cs="Arial"/>
          <w:lang w:bidi="ar-DZ"/>
          <w:rtl/>
        </w:rPr>
        <w:t xml:space="preserve"> دج، يُضاف إليه عند الاقتضاء </w:t>
      </w:r>
      <w:r>
        <w:rPr>
          <w:rFonts w:ascii="Arial" w:hAnsi="Arial" w:cs="Arial"/>
          <w:b/>
          <w:bCs/>
          <w:highlight w:val="yellow"/>
          <w:lang w:bidi="ar-DZ"/>
          <w:rtl/>
        </w:rPr>
        <w:t xml:space="preserve">[عناصر الأجر التكميلية]</w:t>
      </w:r>
      <w:r>
        <w:rPr>
          <w:rFonts w:ascii="Arial" w:hAnsi="Arial" w:cs="Arial"/>
          <w:lang w:bidi="ar-DZ"/>
          <w:rtl/>
        </w:rPr>
        <w:t xml:space="preserve">.</w:t>
      </w:r>
    </w:p>
    <w:p>
      <w:pPr>
        <w:bidi/>
        <w:spacing w:before="0" w:after="120"/>
      </w:pPr>
      <w:r>
        <w:rPr>
          <w:rFonts w:ascii="Arial" w:hAnsi="Arial" w:cs="Arial"/>
          <w:lang w:bidi="ar-DZ"/>
          <w:rtl/>
        </w:rPr>
        <w:t xml:space="preserve">ويُدفع الأجر بوسائل نقدية محضة، بانتظام وفي آجاله. ويُذكر مبلغ الأجر وجميع العناصر المكونة له بالاسم في كشف الراتب الدوري المسلم للعامل.</w:t>
      </w:r>
    </w:p>
    <w:p>
      <w:pPr>
        <w:bidi/>
        <w:spacing w:before="0" w:after="120"/>
      </w:pPr>
      <w:r>
        <w:rPr>
          <w:rFonts w:ascii="Arial" w:hAnsi="Arial" w:cs="Arial"/>
          <w:lang w:bidi="ar-DZ"/>
          <w:rtl/>
        </w:rPr>
        <w:t xml:space="preserve">ولا يمكن أن يقل الأجر عن الأجر الوطني الأدنى المضمون الساري، المحدد بمرسوم.</w:t>
      </w:r>
    </w:p>
    <w:p>
      <w:pPr>
        <w:bidi/>
        <w:spacing w:before="0" w:after="100"/>
      </w:pPr>
      <w:r>
        <w:rPr>
          <w:rFonts w:ascii="Arial" w:hAnsi="Arial" w:cs="Arial"/>
          <w:i/>
          <w:iCs/>
          <w:sz w:val="16"/>
          <w:szCs w:val="16"/>
          <w:color w:val="5A6B7C"/>
          <w:lang w:bidi="ar-DZ"/>
          <w:rtl/>
        </w:rPr>
        <w:t xml:space="preserve">السند القانوني: المواد 80 و81 و84 و85 و86 و88 من القانون 90-11، والمادة 87 للإحالة إلى المرسوم. ويحدد المرسوم الرئاسي رقم 26-01 المؤرخ في 7 يناير سنة 2026 الأجر الوطني الأدنى المضمون بأربعة وعشرين ألف دينار شهرياً، أي 138,46 ديناراً للساعة على أساس 173,33 ساعة شهرياً، ويسري ابتداءً من أول يناير سنة 2026. تحققوا من عدم صدور مرسوم لاحق يستبدله.</w:t>
      </w:r>
    </w:p>
    <w:p>
      <w:pPr>
        <w:bidi/>
        <w:spacing w:before="260" w:after="120"/>
      </w:pPr>
      <w:r>
        <w:rPr>
          <w:rFonts w:ascii="Arial" w:hAnsi="Arial" w:cs="Arial"/>
          <w:b/>
          <w:bCs/>
          <w:sz w:val="26"/>
          <w:szCs w:val="26"/>
          <w:color w:val="1E4E79"/>
          <w:lang w:bidi="ar-DZ"/>
          <w:rtl/>
        </w:rPr>
        <w:t xml:space="preserve">المادة 9: العطلة السنوية المدفوعة الأجر</w:t>
      </w:r>
    </w:p>
    <w:p>
      <w:pPr>
        <w:bidi/>
        <w:spacing w:before="0" w:after="120"/>
      </w:pPr>
      <w:r>
        <w:rPr>
          <w:rFonts w:ascii="Arial" w:hAnsi="Arial" w:cs="Arial"/>
          <w:lang w:bidi="ar-DZ"/>
          <w:rtl/>
        </w:rPr>
        <w:t xml:space="preserve">للعامل الحق في عطلة سنوية مدفوعة الأجر تُحسب على أساس يومين ونصف يوم في كل شهر عمل، دون أن تتعدى المدة الإجمالية ثلاثين يوماً تقويمياً عن سنة العمل الواحدة. وكل تنازل عن كل العطلة أو عن بعضها يُعد باطلاً وعديم الأثر.</w:t>
      </w:r>
    </w:p>
    <w:p>
      <w:pPr>
        <w:bidi/>
        <w:spacing w:before="0" w:after="120"/>
      </w:pPr>
      <w:r>
        <w:rPr>
          <w:rFonts w:ascii="Arial" w:hAnsi="Arial" w:cs="Arial"/>
          <w:lang w:bidi="ar-DZ"/>
          <w:rtl/>
        </w:rPr>
        <w:t xml:space="preserve">وتمتد الفترة السنوية المرجعية من أول يوليو للسنة السابقة للعطلة إلى غاية 30 يونيو من سنة العطلة. وبالنسبة للعامل الجديد توظيفه تُحسب الفترة المرجعية ابتداءً من تاريخ التوظيف. ويساوي تعويض العطلة الجزء الثاني عشر من الأجر الكامل المتقاضى خلال السنة المرجعية.</w:t>
      </w:r>
    </w:p>
    <w:p>
      <w:pPr>
        <w:bidi/>
        <w:spacing w:before="0" w:after="100"/>
      </w:pPr>
      <w:r>
        <w:rPr>
          <w:rFonts w:ascii="Arial" w:hAnsi="Arial" w:cs="Arial"/>
          <w:i/>
          <w:iCs/>
          <w:sz w:val="16"/>
          <w:szCs w:val="16"/>
          <w:color w:val="5A6B7C"/>
          <w:lang w:bidi="ar-DZ"/>
          <w:rtl/>
        </w:rPr>
        <w:t xml:space="preserve">السند القانوني: المواد 39 و40 و41 و46 و49 و52 من القانون 90-11. والمادة 42، كما عدلها الأمر 96-21، للعطلة الإضافية التي لا تقل عن عشرة أيام في المناطق الجنوبية.</w:t>
      </w:r>
    </w:p>
    <w:p>
      <w:pPr>
        <w:bidi/>
        <w:spacing w:before="260" w:after="120"/>
      </w:pPr>
      <w:r>
        <w:rPr>
          <w:rFonts w:ascii="Arial" w:hAnsi="Arial" w:cs="Arial"/>
          <w:b/>
          <w:bCs/>
          <w:sz w:val="26"/>
          <w:szCs w:val="26"/>
          <w:color w:val="1E4E79"/>
          <w:lang w:bidi="ar-DZ"/>
          <w:rtl/>
        </w:rPr>
        <w:t xml:space="preserve">المادة 10: الراحة الأسبوعية وأيام الأعياد والغيابات</w:t>
      </w:r>
    </w:p>
    <w:p>
      <w:pPr>
        <w:bidi/>
        <w:spacing w:before="0" w:after="120"/>
      </w:pPr>
      <w:r>
        <w:rPr>
          <w:rFonts w:ascii="Arial" w:hAnsi="Arial" w:cs="Arial"/>
          <w:lang w:bidi="ar-DZ"/>
          <w:rtl/>
        </w:rPr>
        <w:t xml:space="preserve">للعامل الحق في الراحة يوم كامل في الأسبوع. ويُحدد القانون أيام الأعياد والعطل المدفوعة الأجر. ويحق للعامل الذي يشتغل في يوم راحة قانونية التمتع براحة تعويضية مماثلة والانتفاع بزيادة الساعات الإضافية.</w:t>
      </w:r>
    </w:p>
    <w:p>
      <w:pPr>
        <w:bidi/>
        <w:spacing w:before="0" w:after="120"/>
      </w:pPr>
      <w:r>
        <w:rPr>
          <w:rFonts w:ascii="Arial" w:hAnsi="Arial" w:cs="Arial"/>
          <w:lang w:bidi="ar-DZ"/>
          <w:rtl/>
        </w:rPr>
        <w:t xml:space="preserve">وفي حدوث من الأحداث العائلية التالية، زواج العامل وولادة مولود له وزواج أحد فروعه ووفاة أحد الأصول أو الفروع أو الحواشي المباشرة للعامل أو لزوجه ووفاة زوج العامل وختان ابن العامل، يستفيد العامل من ثلاثة أيام كاملة مدفوعة الأجر.</w:t>
      </w:r>
    </w:p>
    <w:p>
      <w:pPr>
        <w:bidi/>
        <w:spacing w:before="0" w:after="100"/>
      </w:pPr>
      <w:r>
        <w:rPr>
          <w:rFonts w:ascii="Arial" w:hAnsi="Arial" w:cs="Arial"/>
          <w:i/>
          <w:iCs/>
          <w:sz w:val="16"/>
          <w:szCs w:val="16"/>
          <w:color w:val="5A6B7C"/>
          <w:lang w:bidi="ar-DZ"/>
          <w:rtl/>
        </w:rPr>
        <w:t xml:space="preserve">السند القانوني: المواد 33 و34 و36 و53 من القانون 90-11. والمادة 54، كما عدلها الأمر 96-21، لقائمة الأحداث العائلية. والمادة 55 لعطلة الأمومة.</w:t>
      </w:r>
    </w:p>
    <w:p>
      <w:pPr>
        <w:bidi/>
        <w:spacing w:before="260" w:after="120"/>
      </w:pPr>
      <w:r>
        <w:rPr>
          <w:rFonts w:ascii="Arial" w:hAnsi="Arial" w:cs="Arial"/>
          <w:b/>
          <w:bCs/>
          <w:sz w:val="26"/>
          <w:szCs w:val="26"/>
          <w:color w:val="1E4E79"/>
          <w:lang w:bidi="ar-DZ"/>
          <w:rtl/>
        </w:rPr>
        <w:t xml:space="preserve">المادة 11: واجبات العامل</w:t>
      </w:r>
    </w:p>
    <w:p>
      <w:pPr>
        <w:bidi/>
        <w:spacing w:before="0" w:after="120"/>
      </w:pPr>
      <w:r>
        <w:rPr>
          <w:rFonts w:ascii="Arial" w:hAnsi="Arial" w:cs="Arial"/>
          <w:lang w:bidi="ar-DZ"/>
          <w:rtl/>
        </w:rPr>
        <w:t xml:space="preserve">يلتزم العامل بأن يؤدي بأقصى ما لديه من قدرات الواجبات المرتبطة بمنصب عمله بعناية ومواظبة، وأن ينفذ التعليمات الصادرة عن السلطة السلمية أثناء ممارستها العادية لسلطاتها في الإدارة، وأن يراعي تدابير الوقاية الصحية والأمن، وألا تكون له مصالح مباشرة أو غير مباشرة في مؤسسة منافسة أو زبونة أو مقاولة من الباطن إلا باتفاق مع المستخدم، وألا يُفشي المعلومات المهنية ولا الوثائق الداخلية الخاصة بالهيئة المستخدمة.</w:t>
      </w:r>
    </w:p>
    <w:p>
      <w:pPr>
        <w:bidi/>
        <w:spacing w:before="0" w:after="100"/>
      </w:pPr>
      <w:r>
        <w:rPr>
          <w:rFonts w:ascii="Arial" w:hAnsi="Arial" w:cs="Arial"/>
          <w:i/>
          <w:iCs/>
          <w:sz w:val="16"/>
          <w:szCs w:val="16"/>
          <w:color w:val="5A6B7C"/>
          <w:lang w:bidi="ar-DZ"/>
          <w:rtl/>
        </w:rPr>
        <w:t xml:space="preserve">السند القانوني: المادة 7 من القانون 90-11.</w:t>
      </w:r>
    </w:p>
    <w:p>
      <w:pPr>
        <w:bidi/>
        <w:spacing w:before="260" w:after="120"/>
      </w:pPr>
      <w:r>
        <w:rPr>
          <w:rFonts w:ascii="Arial" w:hAnsi="Arial" w:cs="Arial"/>
          <w:b/>
          <w:bCs/>
          <w:sz w:val="26"/>
          <w:szCs w:val="26"/>
          <w:color w:val="1E4E79"/>
          <w:lang w:bidi="ar-DZ"/>
          <w:rtl/>
        </w:rPr>
        <w:t xml:space="preserve">المادة 12: النظام الداخلي</w:t>
      </w:r>
    </w:p>
    <w:p>
      <w:pPr>
        <w:bidi/>
        <w:spacing w:before="0" w:after="120"/>
      </w:pPr>
      <w:r>
        <w:rPr>
          <w:rFonts w:ascii="Arial" w:hAnsi="Arial" w:cs="Arial"/>
          <w:lang w:bidi="ar-DZ"/>
          <w:rtl/>
        </w:rPr>
        <w:t xml:space="preserve">يُصرح العامل بأنه اطلع على النظام الداخلي للمؤسسة ويلتزم باحترام أحكامه. ويُحدد هذا النظام القواعد المتعلقة بالتنظيم التقني للعمل والوقاية الصحية والأمن والانضباط، وكذا طبيعة الأخطاء المهنية ودرجات العقوبات المطابقة وإجراءات التنفيذ.</w:t>
      </w:r>
    </w:p>
    <w:p>
      <w:pPr>
        <w:bidi/>
        <w:spacing w:before="0" w:after="100"/>
      </w:pPr>
      <w:r>
        <w:rPr>
          <w:rFonts w:ascii="Arial" w:hAnsi="Arial" w:cs="Arial"/>
          <w:i/>
          <w:iCs/>
          <w:sz w:val="16"/>
          <w:szCs w:val="16"/>
          <w:color w:val="5A6B7C"/>
          <w:lang w:bidi="ar-DZ"/>
          <w:rtl/>
        </w:rPr>
        <w:t xml:space="preserve">السند القانوني: المواد 75 و77 و79 من القانون 90-11. والنظام الداخلي إلزامي ابتداءً من عشرين عاملاً، ويُودع لدى مفتشية العمل المختصة إقليمياً للمصادقة على مطابقته في أجل ثمانية أيام، ويسري مفعوله فور إيداعه لدى كتابة الضبط للمحكمة المختصة إقليمياً.</w:t>
      </w:r>
    </w:p>
    <w:p>
      <w:pPr>
        <w:bidi/>
        <w:spacing w:before="260" w:after="120"/>
      </w:pPr>
      <w:r>
        <w:rPr>
          <w:rFonts w:ascii="Arial" w:hAnsi="Arial" w:cs="Arial"/>
          <w:b/>
          <w:bCs/>
          <w:sz w:val="26"/>
          <w:szCs w:val="26"/>
          <w:color w:val="1E4E79"/>
          <w:lang w:bidi="ar-DZ"/>
          <w:rtl/>
        </w:rPr>
        <w:t xml:space="preserve">المادة 13: العطلة لإنشاء مؤسسة</w:t>
      </w:r>
    </w:p>
    <w:p>
      <w:pPr>
        <w:bidi/>
        <w:spacing w:before="0" w:after="120"/>
      </w:pPr>
      <w:r>
        <w:rPr>
          <w:rFonts w:ascii="Arial" w:hAnsi="Arial" w:cs="Arial"/>
          <w:lang w:bidi="ar-DZ"/>
          <w:rtl/>
        </w:rPr>
        <w:t xml:space="preserve">يستفيد العامل، ضمن الشروط التي يحددها القانون، من الحق في عطلة غير مدفوعة الأجر لإنشاء مؤسسة مرة واحدة خلال مساره المهني، وكذا من الحق في اللجوء إلى العمل بالتوقيت الجزئي للغرض نفسه.</w:t>
      </w:r>
    </w:p>
    <w:p>
      <w:pPr>
        <w:bidi/>
        <w:spacing w:before="0" w:after="100"/>
      </w:pPr>
      <w:r>
        <w:rPr>
          <w:rFonts w:ascii="Arial" w:hAnsi="Arial" w:cs="Arial"/>
          <w:i/>
          <w:iCs/>
          <w:sz w:val="16"/>
          <w:szCs w:val="16"/>
          <w:color w:val="5A6B7C"/>
          <w:lang w:bidi="ar-DZ"/>
          <w:rtl/>
        </w:rPr>
        <w:t xml:space="preserve">السند القانوني: المواد من 56 مكرر إلى 56 مكرر 6 من القانون 90-11، المضافة بالقانون رقم 22-16 المؤرخ في 20 يوليو سنة 2022. المدة سنة واحدة على الأكثر، قابلة للتمديد استثنائياً بستة أشهر على الأكثر بناءً على تبرير.</w:t>
      </w:r>
    </w:p>
    <w:p>
      <w:pPr>
        <w:bidi/>
        <w:spacing w:before="260" w:after="120"/>
      </w:pPr>
      <w:r>
        <w:rPr>
          <w:rFonts w:ascii="Arial" w:hAnsi="Arial" w:cs="Arial"/>
          <w:b/>
          <w:bCs/>
          <w:sz w:val="26"/>
          <w:szCs w:val="26"/>
          <w:color w:val="1E4E79"/>
          <w:lang w:bidi="ar-DZ"/>
          <w:rtl/>
        </w:rPr>
        <w:t xml:space="preserve">المادة 14: انتهاء علاقة العمل</w:t>
      </w:r>
    </w:p>
    <w:p>
      <w:pPr>
        <w:bidi/>
        <w:spacing w:before="0" w:after="120"/>
      </w:pPr>
      <w:r>
        <w:rPr>
          <w:rFonts w:ascii="Arial" w:hAnsi="Arial" w:cs="Arial"/>
          <w:lang w:bidi="ar-DZ"/>
          <w:rtl/>
        </w:rPr>
        <w:t xml:space="preserve">تنتهي علاقة العمل في الحالات المنصوص عليها في القانون، لا سيما بالاستقالة والعزل والتسريح للتقليص من عدد العمال والتقاعد والعجز الكامل عن العمل والوفاة.</w:t>
      </w:r>
    </w:p>
    <w:p>
      <w:pPr>
        <w:bidi/>
        <w:spacing w:before="0" w:after="120"/>
      </w:pPr>
      <w:r>
        <w:rPr>
          <w:rFonts w:ascii="Arial" w:hAnsi="Arial" w:cs="Arial"/>
          <w:lang w:bidi="ar-DZ"/>
          <w:rtl/>
        </w:rPr>
        <w:t xml:space="preserve">والاستقالة حق معترف به للعامل. تُقدم كتابةً، ويغادر العامل منصبه بعد فترة إشعار مسبق تحددها الاتفاقيات أو الاتفاقات الجماعية. والإشعار المسبق المطبق هو </w:t>
      </w:r>
      <w:r>
        <w:rPr>
          <w:rFonts w:ascii="Arial" w:hAnsi="Arial" w:cs="Arial"/>
          <w:b/>
          <w:bCs/>
          <w:highlight w:val="yellow"/>
          <w:lang w:bidi="ar-DZ"/>
          <w:rtl/>
        </w:rPr>
        <w:t xml:space="preserve">[مدة الإشعار المسبق حسب الاتفاقية الجماعية]</w:t>
      </w:r>
      <w:r>
        <w:rPr>
          <w:rFonts w:ascii="Arial" w:hAnsi="Arial" w:cs="Arial"/>
          <w:lang w:bidi="ar-DZ"/>
          <w:rtl/>
        </w:rPr>
        <w:t xml:space="preserve">.</w:t>
      </w:r>
    </w:p>
    <w:p>
      <w:pPr>
        <w:bidi/>
        <w:spacing w:before="0" w:after="120"/>
      </w:pPr>
      <w:r>
        <w:rPr>
          <w:rFonts w:ascii="Arial" w:hAnsi="Arial" w:cs="Arial"/>
          <w:lang w:bidi="ar-DZ"/>
          <w:rtl/>
        </w:rPr>
        <w:t xml:space="preserve">ويتم العزل في حالة ارتكاب أخطاء جسيمة، في ظل احترام الإجراءات المحددة في النظام الداخلي، وهي إجراءات تنص وجوباً على التبليغ الكتابي للقرار وعلى سماع العامل الذي يمكنه أن يستعين بعامل يختاره من المؤسسة.</w:t>
      </w:r>
    </w:p>
    <w:p>
      <w:pPr>
        <w:bidi/>
        <w:spacing w:before="0" w:after="120"/>
      </w:pPr>
      <w:r>
        <w:rPr>
          <w:rFonts w:ascii="Arial" w:hAnsi="Arial" w:cs="Arial"/>
          <w:lang w:bidi="ar-DZ"/>
          <w:rtl/>
        </w:rPr>
        <w:t xml:space="preserve">ويُسلم للعامل عند انتهاء علاقة العمل شهادة عمل تُبين تاريخ التوظيف وتاريخ انتهاء علاقة العمل وكذا المناصب التي شُغلت والفترات المناسبة لها.</w:t>
      </w:r>
    </w:p>
    <w:p>
      <w:pPr>
        <w:bidi/>
        <w:spacing w:before="0" w:after="100"/>
      </w:pPr>
      <w:r>
        <w:rPr>
          <w:rFonts w:ascii="Arial" w:hAnsi="Arial" w:cs="Arial"/>
          <w:i/>
          <w:iCs/>
          <w:sz w:val="16"/>
          <w:szCs w:val="16"/>
          <w:color w:val="5A6B7C"/>
          <w:lang w:bidi="ar-DZ"/>
          <w:rtl/>
        </w:rPr>
        <w:t xml:space="preserve">السند القانوني: المواد 66 و67 و68 من القانون 90-11؛ والمادتان 73 و73-2 في صيغتهما الناتجة عن القانون رقم 91-29 المؤرخ في 21 ديسمبر سنة 1991؛ والمادة 72 للتعويض عن التسريح المستحق للعامل الموظف لمدة غير محدودة على أساس شهر لكل سنة عمل في حدود خمسة عشر شهراً.</w:t>
      </w:r>
    </w:p>
    <w:p>
      <w:pPr>
        <w:bidi/>
        <w:spacing w:before="260" w:after="120"/>
      </w:pPr>
      <w:r>
        <w:rPr>
          <w:rFonts w:ascii="Arial" w:hAnsi="Arial" w:cs="Arial"/>
          <w:b/>
          <w:bCs/>
          <w:sz w:val="26"/>
          <w:szCs w:val="26"/>
          <w:color w:val="1E4E79"/>
          <w:lang w:bidi="ar-DZ"/>
          <w:rtl/>
        </w:rPr>
        <w:t xml:space="preserve">المادة 15: أحكام عامة</w:t>
      </w:r>
    </w:p>
    <w:p>
      <w:pPr>
        <w:bidi/>
        <w:spacing w:before="0" w:after="120"/>
      </w:pPr>
      <w:r>
        <w:rPr>
          <w:rFonts w:ascii="Arial" w:hAnsi="Arial" w:cs="Arial"/>
          <w:lang w:bidi="ar-DZ"/>
          <w:rtl/>
        </w:rPr>
        <w:t xml:space="preserve">في كل ما لم يُنص عليه في هذا العقد، يرجع الطرفان إلى القانون رقم 90-11 المؤرخ في 21 أبريل سنة 1990، المعدل والمتمم، وإلى الاتفاقية الجماعية المطبقة وإلى النظام الداخلي للمؤسسة. وكل حكم أنفع للعامل ينص عليه القانون أو التنظيم أو الاتفاقيات الجماعية يسري بقوة القانون.</w:t>
      </w:r>
    </w:p>
    <w:p>
      <w:pPr>
        <w:bidi/>
        <w:spacing w:before="0" w:after="100"/>
      </w:pPr>
      <w:r>
        <w:rPr>
          <w:rFonts w:ascii="Arial" w:hAnsi="Arial" w:cs="Arial"/>
          <w:i/>
          <w:iCs/>
          <w:sz w:val="16"/>
          <w:szCs w:val="16"/>
          <w:color w:val="5A6B7C"/>
          <w:lang w:bidi="ar-DZ"/>
          <w:rtl/>
        </w:rPr>
        <w:t xml:space="preserve">السند القانوني: المادة 62 من القانون 90-11.</w:t>
      </w:r>
    </w:p>
    <w:p>
      <w:pPr>
        <w:bidi/>
        <w:spacing w:before="0" w:after="60"/>
      </w:pPr>
    </w:p>
    <w:p>
      <w:pPr>
        <w:bidi/>
        <w:spacing w:before="0" w:after="120"/>
      </w:pPr>
      <w:r>
        <w:rPr>
          <w:rFonts w:ascii="Arial" w:hAnsi="Arial" w:cs="Arial"/>
          <w:lang w:bidi="ar-DZ"/>
          <w:rtl/>
        </w:rPr>
        <w:t xml:space="preserve">حُرر بـ </w:t>
      </w:r>
      <w:r>
        <w:rPr>
          <w:rFonts w:ascii="Arial" w:hAnsi="Arial" w:cs="Arial"/>
          <w:b/>
          <w:bCs/>
          <w:highlight w:val="yellow"/>
          <w:lang w:bidi="ar-DZ"/>
          <w:rtl/>
        </w:rPr>
        <w:t xml:space="preserve">[المدينة]</w:t>
      </w:r>
      <w:r>
        <w:rPr>
          <w:rFonts w:ascii="Arial" w:hAnsi="Arial" w:cs="Arial"/>
          <w:lang w:bidi="ar-DZ"/>
          <w:rtl/>
        </w:rPr>
        <w:t xml:space="preserve">، في </w:t>
      </w:r>
      <w:r>
        <w:rPr>
          <w:rFonts w:ascii="Arial" w:hAnsi="Arial" w:cs="Arial"/>
          <w:b/>
          <w:bCs/>
          <w:highlight w:val="yellow"/>
          <w:lang w:bidi="ar-DZ"/>
          <w:rtl/>
        </w:rPr>
        <w:t xml:space="preserve">[التاريخ]</w:t>
      </w:r>
      <w:r>
        <w:rPr>
          <w:rFonts w:ascii="Arial" w:hAnsi="Arial" w:cs="Arial"/>
          <w:lang w:bidi="ar-DZ"/>
          <w:rtl/>
        </w:rPr>
        <w:t xml:space="preserve">، في </w:t>
      </w:r>
      <w:r>
        <w:rPr>
          <w:rFonts w:ascii="Arial" w:hAnsi="Arial" w:cs="Arial"/>
          <w:b/>
          <w:bCs/>
          <w:highlight w:val="yellow"/>
          <w:lang w:bidi="ar-DZ"/>
          <w:rtl/>
        </w:rPr>
        <w:t xml:space="preserve">[عدد النسخ]</w:t>
      </w:r>
      <w:r>
        <w:rPr>
          <w:rFonts w:ascii="Arial" w:hAnsi="Arial" w:cs="Arial"/>
          <w:lang w:bidi="ar-DZ"/>
          <w:rtl/>
        </w:rPr>
        <w:t xml:space="preserve"> نسخ أصلية.</w:t>
      </w:r>
    </w:p>
    <w:p>
      <w:pPr>
        <w:bidi/>
        <w:jc w:val="center"/>
        <w:spacing w:before="320" w:after="480"/>
      </w:pPr>
      <w:r>
        <w:rPr>
          <w:rFonts w:ascii="Arial" w:hAnsi="Arial" w:cs="Arial"/>
          <w:b/>
          <w:bCs/>
          <w:lang w:bidi="ar-DZ"/>
          <w:rtl/>
        </w:rPr>
        <w:t xml:space="preserve">المستخدم</w:t>
      </w:r>
      <w:r>
        <w:rPr>
          <w:rFonts w:ascii="Arial" w:hAnsi="Arial" w:cs="Arial"/>
          <w:lang w:bidi="ar-DZ"/>
          <w:rtl/>
        </w:rPr>
        <w:t xml:space="preserve">      </w:t>
      </w:r>
      <w:r>
        <w:rPr>
          <w:rFonts w:ascii="Arial" w:hAnsi="Arial" w:cs="Arial"/>
          <w:b/>
          <w:bCs/>
          <w:lang w:bidi="ar-DZ"/>
          <w:rtl/>
        </w:rPr>
        <w:t xml:space="preserve">العامل</w:t>
      </w:r>
    </w:p>
    <w:p>
      <w:r>
        <w:br w:type="page"/>
      </w:r>
    </w:p>
    <w:p>
      <w:pPr>
        <w:bidi/>
        <w:spacing w:before="260" w:after="120"/>
      </w:pPr>
      <w:r>
        <w:rPr>
          <w:rFonts w:ascii="Arial" w:hAnsi="Arial" w:cs="Arial"/>
          <w:b/>
          <w:bCs/>
          <w:sz w:val="26"/>
          <w:szCs w:val="26"/>
          <w:color w:val="1E4E79"/>
          <w:lang w:bidi="ar-DZ"/>
          <w:rtl/>
        </w:rPr>
        <w:t xml:space="preserve">المراجع القانونية المذكورة في هذا النموذج</w:t>
      </w:r>
    </w:p>
    <w:p>
      <w:pPr>
        <w:bidi/>
        <w:numPr>
          <w:ilvl w:val="0"/>
          <w:numId w:val="1"/>
        </w:numPr>
        <w:spacing w:before="0" w:after="60"/>
      </w:pPr>
      <w:r>
        <w:rPr>
          <w:rFonts w:ascii="Arial" w:hAnsi="Arial" w:cs="Arial"/>
          <w:lang w:bidi="ar-DZ"/>
          <w:rtl/>
        </w:rPr>
        <w:t xml:space="preserve">القانون رقم 90-11 المؤرخ في 21 أبريل سنة 1990 المتعلق بعلاقات العمل، الجريدة الرسمية عدد 17 المؤرخة في 25 أبريل سنة 1990.</w:t>
      </w:r>
    </w:p>
    <w:p>
      <w:pPr>
        <w:bidi/>
        <w:numPr>
          <w:ilvl w:val="0"/>
          <w:numId w:val="1"/>
        </w:numPr>
        <w:spacing w:before="0" w:after="60"/>
      </w:pPr>
      <w:r>
        <w:rPr>
          <w:rFonts w:ascii="Arial" w:hAnsi="Arial" w:cs="Arial"/>
          <w:lang w:bidi="ar-DZ"/>
          <w:rtl/>
        </w:rPr>
        <w:t xml:space="preserve">القانون رقم 91-29 المؤرخ في 21 ديسمبر سنة 1991 المعدل والمتمم للقانون 90-11، الجريدة الرسمية عدد 68 المؤرخة في 25 ديسمبر سنة 1991.</w:t>
      </w:r>
    </w:p>
    <w:p>
      <w:pPr>
        <w:bidi/>
        <w:numPr>
          <w:ilvl w:val="0"/>
          <w:numId w:val="1"/>
        </w:numPr>
        <w:spacing w:before="0" w:after="60"/>
      </w:pPr>
      <w:r>
        <w:rPr>
          <w:rFonts w:ascii="Arial" w:hAnsi="Arial" w:cs="Arial"/>
          <w:lang w:bidi="ar-DZ"/>
          <w:rtl/>
        </w:rPr>
        <w:t xml:space="preserve">الأمر رقم 96-21 المؤرخ في 9 يوليو سنة 1996 المعدل والمتمم للقانون 90-11، الجريدة الرسمية عدد 43 المؤرخة في 10 يوليو سنة 1996.</w:t>
      </w:r>
    </w:p>
    <w:p>
      <w:pPr>
        <w:bidi/>
        <w:numPr>
          <w:ilvl w:val="0"/>
          <w:numId w:val="1"/>
        </w:numPr>
        <w:spacing w:before="0" w:after="60"/>
      </w:pPr>
      <w:r>
        <w:rPr>
          <w:rFonts w:ascii="Arial" w:hAnsi="Arial" w:cs="Arial"/>
          <w:lang w:bidi="ar-DZ"/>
          <w:rtl/>
        </w:rPr>
        <w:t xml:space="preserve">الأمر رقم 97-03 المؤرخ في 11 يناير سنة 1997 الذي يحدد المدة القانونية للعمل، الجريدة الرسمية عدد 3 المؤرخة في 12 يناير سنة 1997.</w:t>
      </w:r>
    </w:p>
    <w:p>
      <w:pPr>
        <w:bidi/>
        <w:numPr>
          <w:ilvl w:val="0"/>
          <w:numId w:val="1"/>
        </w:numPr>
        <w:spacing w:before="0" w:after="60"/>
      </w:pPr>
      <w:r>
        <w:rPr>
          <w:rFonts w:ascii="Arial" w:hAnsi="Arial" w:cs="Arial"/>
          <w:lang w:bidi="ar-DZ"/>
          <w:rtl/>
        </w:rPr>
        <w:t xml:space="preserve">القانون رقم 22-16 المؤرخ في 20 يوليو سنة 2022 المتمم للقانون 90-11، الجريدة الرسمية عدد 49 المؤرخة في 20 يوليو سنة 2022.</w:t>
      </w:r>
    </w:p>
    <w:p>
      <w:pPr>
        <w:bidi/>
        <w:numPr>
          <w:ilvl w:val="0"/>
          <w:numId w:val="1"/>
        </w:numPr>
        <w:spacing w:before="0" w:after="60"/>
      </w:pPr>
      <w:r>
        <w:rPr>
          <w:rFonts w:ascii="Arial" w:hAnsi="Arial" w:cs="Arial"/>
          <w:lang w:bidi="ar-DZ"/>
          <w:rtl/>
        </w:rPr>
        <w:t xml:space="preserve">المرسوم الرئاسي رقم 26-01 المؤرخ في 7 يناير سنة 2026 الذي يحدد الأجر الوطني الأدنى المضمون، الجريدة الرسمية عدد 01 المؤرخة في 8 يناير سنة 2026.</w:t>
      </w:r>
    </w:p>
    <w:p>
      <w:pPr>
        <w:bidi/>
        <w:spacing w:before="0" w:after="100"/>
      </w:pPr>
      <w:r>
        <w:rPr>
          <w:rFonts w:ascii="Arial" w:hAnsi="Arial" w:cs="Arial"/>
          <w:i/>
          <w:iCs/>
          <w:sz w:val="16"/>
          <w:szCs w:val="16"/>
          <w:color w:val="5A6B7C"/>
          <w:lang w:bidi="ar-DZ"/>
          <w:rtl/>
        </w:rPr>
        <w:t xml:space="preserve">قُرئ كل نص من هذه النصوص على الصورة المرقمنة لصفحة الجريدة الرسمية. وتفصيل سلسلة التعديلات منشور على upgrowth.dz/ar/modele-contrat-travail-cdi-algerie.</w:t>
      </w:r>
    </w:p>
    <w:sectPr>
      <w:bidi/>
      <w:footerReference w:type="default" r:id="rId3"/>
      <w:pgSz w:w="11906" w:h="16838"/>
      <w:pgMar w:top="1418" w:right="1418" w:bottom="1418" w:left="1418" w:header="709" w:footer="709" w:gutter="0"/>
    </w:sectPr>
  </w:body>
</w:document>
</file>

<file path=word/footer1.xml><?xml version="1.0" encoding="utf-8"?>
<w:ftr xmlns:w="http://schemas.openxmlformats.org/wordprocessingml/2006/main">
  <w:p>
    <w:pPr>
      <w:pStyle w:val="Footer"/>
      <w:bidi/>
    </w:pPr>
    <w:r>
      <w:rPr>
        <w:sz w:val="15"/>
        <w:color w:val="5A6B7C"/>
        <w:rFonts w:ascii="Arial" w:hAnsi="Arial" w:cs="Arial"/>
        <w:rtl/>
      </w:rPr>
      <w:t xml:space="preserve">نموذج إعلامي مجاني من UpGrowth (upgrowth.dz). لا يُشكل استشارة قانونية. يُقرأ مع الاتفاقية الجماعية للفرع ومع النظام الداخلي للمؤسسة.</w:t>
    </w:r>
  </w:p>
</w:ftr>
</file>

<file path=word/numbering.xml><?xml version="1.0" encoding="utf-8"?>
<w:numbering xmlns:w="http://schemas.openxmlformats.org/wordprocessingml/2006/main">
  <w:abstractNum w:abstractNumId="0">
    <w:multiLevelType w:val="hybridMultilevel"/>
    <w:lvl w:ilvl="0">
      <w:start w:val="1"/>
      <w:numFmt w:val="bullet"/>
      <w:lvlText w:val=""/>
      <w:lvlJc w:val="right"/>
      <w:pPr>
        <w:bidi/>
        <w:ind w:right="720" w:hanging="360"/>
      </w:pPr>
      <w:rPr>
        <w:rFonts w:ascii="Symbol" w:hAnsi="Symbol" w:hint="default"/>
      </w:rPr>
    </w:lvl>
  </w:abstractNum>
  <w:abstractNum w:abstractNumId="1">
    <w:multiLevelType w:val="hybridMultilevel"/>
    <w:lvl w:ilvl="0">
      <w:start w:val="1"/>
      <w:numFmt w:val="decimal"/>
      <w:lvlText w:val="%1."/>
      <w:lvlJc w:val="right"/>
      <w:pPr>
        <w:bidi/>
        <w:ind w:right="720" w:hanging="360"/>
      </w:pPr>
    </w:lvl>
  </w:abstractNum>
  <w:num w:numId="1">
    <w:abstractNumId w:val="0"/>
  </w:num>
  <w:num w:numId="2">
    <w:abstractNumId w:val="1"/>
  </w:num>
</w:numbering>
</file>

<file path=word/styles.xml><?xml version="1.0" encoding="utf-8"?>
<w:styles xmlns:w="http://schemas.openxmlformats.org/wordprocessingml/2006/main">
  <w:docDefaults>
    <w:rPrDefault>
      <w:rPr>
        <w:rFonts w:ascii="Arial" w:hAnsi="Arial" w:cs="Arial"/>
        <w:sz w:val="22"/>
        <w:szCs w:val="22"/>
        <w:lang w:val="fr-FR" w:bidi="ar-DZ"/>
        <w:rtl/>
      </w:rPr>
    </w:rPrDefault>
    <w:pPrDefault>
      <w:pPr>
        <w:bidi/>
        <w:spacing w:after="120" w:line="276" w:lineRule="auto"/>
        <w:jc w:val="both"/>
      </w:pPr>
    </w:pPrDefault>
  </w:docDefaults>
  <w:style w:type="paragraph" w:default="1" w:styleId="Normal">
    <w:name w:val="Normal"/>
    <w:qFormat/>
  </w:style>
  <w:style w:type="paragraph" w:styleId="Footer">
    <w:name w:val="footer"/>
    <w:pPr>
      <w:bidi/>
      <w:jc w:val="center"/>
      <w:spacing w:after="0"/>
    </w:pPr>
    <w:rPr>
      <w:sz w:val="15"/>
      <w:szCs w:val="15"/>
      <w:color w:val="5A6B7C"/>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footer" Target="footer1.xml"/>
</Relationships>
</file>

<file path=docProps/app.xml><?xml version="1.0" encoding="utf-8"?>
<Properties xmlns="http://schemas.openxmlformats.org/officeDocument/2006/extended-properties" xmlns:vt="http://schemas.openxmlformats.org/officeDocument/2006/docPropsVTypes">
  <Application>UpGrowth Template Generator</Application>
  <Company>UpGrowth</Company>
</Properties>
</file>

<file path=docProps/core.xml><?xml version="1.0" encoding="utf-8"?>
<cp:coreProperties xmlns:cp="http://schemas.openxmlformats.org/package/2006/metadata/core-properties" xmlns:dc="http://purl.org/dc/elements/1.1/" xmlns:dcterms="http://purl.org/dc/terms/" xmlns:xsi="http://www.w3.org/2001/XMLSchema-instance">
  <dc:title>عقد عمل غير محدود المدة، القانون الجزائري</dc:title>
  <dc:subject>نموذج إعلامي لعقد عمل غير محدود المدة مطابق للقانون 90-11 المتعلق بعلاقات العمل، مع ذكر السند القانوني لكل بند.</dc:subject>
  <dc:creator>UpGrowth (upgrowth.dz)</dc:creator>
  <cp:keywords>عقد عمل، غير محدود المدة، القانون 90-11، علاقات العمل، الجزائر، نموذج</cp:keywords>
  <cp:lastModifiedBy>UpGrowth</cp:lastModifiedBy>
  <dcterms:created xsi:type="dcterms:W3CDTF">2026-07-30T00:00:00Z</dcterms:created>
  <dcterms:modified xsi:type="dcterms:W3CDTF">2026-07-30T00:00:00Z</dcterms:modified>
  <dc:language>ar-DZ</dc:language>
</cp:coreProperties>
</file>