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bidi/>
        <w:jc w:val="center"/>
        <w:spacing w:before="0" w:after="160"/>
      </w:pPr>
      <w:r>
        <w:rPr>
          <w:rFonts w:ascii="Arial" w:hAnsi="Arial" w:cs="Arial"/>
          <w:b/>
          <w:bCs/>
          <w:sz w:val="36"/>
          <w:szCs w:val="36"/>
          <w:color w:val="0B2E4F"/>
          <w:lang w:bidi="ar-DZ"/>
          <w:rtl/>
        </w:rPr>
        <w:t xml:space="preserve">عقد عمل محدود المدة</w:t>
      </w:r>
    </w:p>
    <w:p>
      <w:pPr>
        <w:bidi/>
        <w:jc w:val="center"/>
        <w:spacing w:before="0" w:after="240"/>
      </w:pPr>
      <w:r>
        <w:rPr>
          <w:rFonts w:ascii="Arial" w:hAnsi="Arial" w:cs="Arial"/>
          <w:i/>
          <w:iCs/>
          <w:sz w:val="22"/>
          <w:szCs w:val="22"/>
          <w:color w:val="44607A"/>
          <w:lang w:bidi="ar-DZ"/>
          <w:rtl/>
        </w:rPr>
        <w:t xml:space="preserve">نموذج إعلامي، القانون الجزائري، القانون رقم 90-11 المؤرخ في 21 أبريل سنة 1990 المتعلق بعلاقات العمل</w:t>
      </w:r>
    </w:p>
    <w:p>
      <w:pPr>
        <w:bidi/>
        <w:spacing w:before="160" w:after="160"/>
        <w:pBdr>
          <w:top w:val="single" w:sz="6" w:space="6" w:color="1E4E79"/>
          <w:left w:val="single" w:sz="6" w:space="6" w:color="1E4E79"/>
          <w:bottom w:val="single" w:sz="6" w:space="6" w:color="1E4E79"/>
          <w:right w:val="single" w:sz="6" w:space="6" w:color="1E4E79"/>
        </w:pBdr>
        <w:shd w:val="clear" w:color="auto" w:fill="EAF1F8"/>
      </w:pPr>
      <w:r>
        <w:rPr>
          <w:rFonts w:ascii="Arial" w:hAnsi="Arial" w:cs="Arial"/>
          <w:b/>
          <w:bCs/>
          <w:color w:val="0B2E4F"/>
          <w:lang w:bidi="ar-DZ"/>
          <w:rtl/>
        </w:rPr>
        <w:t xml:space="preserve">تنبيه. يعتبر عقد العمل المبرم لمدة محدودة خلافاً لما تنص عليه أحكام القانون عقد عمل لمدة غير محدودة، بنص المادة 14 من القانون 90-11. تحققوا من أن وضعيتكم تندرج فعلاً في إحدى حالات المادة 12 الخمس قبل التوقيع. وهذه الوثيقة نموذج إعلامي لا يُشكل استشارة قانونية، ولا يُؤكد أنه كافٍ لوضعية بعينها.</w:t>
      </w:r>
    </w:p>
    <w:p>
      <w:pPr>
        <w:bidi/>
        <w:spacing w:before="260" w:after="120"/>
      </w:pPr>
      <w:r>
        <w:rPr>
          <w:rFonts w:ascii="Arial" w:hAnsi="Arial" w:cs="Arial"/>
          <w:b/>
          <w:bCs/>
          <w:sz w:val="26"/>
          <w:szCs w:val="26"/>
          <w:color w:val="1E4E79"/>
          <w:lang w:bidi="ar-DZ"/>
          <w:rtl/>
        </w:rPr>
        <w:t xml:space="preserve">قبل الملء</w:t>
      </w:r>
    </w:p>
    <w:p>
      <w:pPr>
        <w:bidi/>
        <w:numPr>
          <w:ilvl w:val="0"/>
          <w:numId w:val="1"/>
        </w:numPr>
        <w:spacing w:before="0" w:after="60"/>
      </w:pPr>
      <w:r>
        <w:rPr>
          <w:rFonts w:ascii="Arial" w:hAnsi="Arial" w:cs="Arial"/>
          <w:lang w:bidi="ar-DZ"/>
          <w:rtl/>
        </w:rPr>
        <w:t xml:space="preserve">ابدؤوا بالمادة 3 من العقد، أي حالة اللجوء. فإن لم تكن أي من الحالات الخمس تصف وضعيتكم بصدق، فالعقد الواجب إبرامه عقد غير محدود المدة.</w:t>
      </w:r>
    </w:p>
    <w:p>
      <w:pPr>
        <w:bidi/>
        <w:numPr>
          <w:ilvl w:val="0"/>
          <w:numId w:val="1"/>
        </w:numPr>
        <w:spacing w:before="0" w:after="60"/>
      </w:pPr>
      <w:r>
        <w:rPr>
          <w:rFonts w:ascii="Arial" w:hAnsi="Arial" w:cs="Arial"/>
          <w:lang w:bidi="ar-DZ"/>
          <w:rtl/>
        </w:rPr>
        <w:t xml:space="preserve">اكتبوا سبب المدة في جملة ملموسة تربط تاريخ النهاية بالنشاط. فتاريخ نهاية بلا سبب لا يفي إلا بنصف ما تشترطه المادة 12.</w:t>
      </w:r>
    </w:p>
    <w:p>
      <w:pPr>
        <w:bidi/>
        <w:numPr>
          <w:ilvl w:val="0"/>
          <w:numId w:val="1"/>
        </w:numPr>
        <w:spacing w:before="0" w:after="60"/>
      </w:pPr>
      <w:r>
        <w:rPr>
          <w:rFonts w:ascii="Arial" w:hAnsi="Arial" w:cs="Arial"/>
          <w:lang w:bidi="ar-DZ"/>
          <w:rtl/>
        </w:rPr>
        <w:t xml:space="preserve">استبدلوا كل الخانات الموضوعة بين معقوفتين، وهي مظللة. أعيدوا قراءة الملف بعد ملئه بحثاً عن المعقوفات المتبقية.</w:t>
      </w:r>
    </w:p>
    <w:p>
      <w:pPr>
        <w:bidi/>
        <w:numPr>
          <w:ilvl w:val="0"/>
          <w:numId w:val="1"/>
        </w:numPr>
        <w:spacing w:before="0" w:after="60"/>
      </w:pPr>
      <w:r>
        <w:rPr>
          <w:rFonts w:ascii="Arial" w:hAnsi="Arial" w:cs="Arial"/>
          <w:lang w:bidi="ar-DZ"/>
          <w:rtl/>
        </w:rPr>
        <w:t xml:space="preserve">راجعوا الاتفاقية الجماعية لفرعكم: فقد تكون أشد من القانون في اللجوء إلى العقد محدود المدة.</w:t>
      </w:r>
    </w:p>
    <w:p>
      <w:pPr>
        <w:bidi/>
        <w:numPr>
          <w:ilvl w:val="0"/>
          <w:numId w:val="1"/>
        </w:numPr>
        <w:spacing w:before="0" w:after="60"/>
      </w:pPr>
      <w:r>
        <w:rPr>
          <w:rFonts w:ascii="Arial" w:hAnsi="Arial" w:cs="Arial"/>
          <w:lang w:bidi="ar-DZ"/>
          <w:rtl/>
        </w:rPr>
        <w:t xml:space="preserve">حرّروا نسختين أصليتين موقعتين على الأقل، واحدة لكل طرف.</w:t>
      </w:r>
    </w:p>
    <w:p>
      <w:r>
        <w:br w:type="page"/>
      </w:r>
    </w:p>
    <w:p>
      <w:pPr>
        <w:bidi/>
        <w:spacing w:before="260" w:after="120"/>
      </w:pPr>
      <w:r>
        <w:rPr>
          <w:rFonts w:ascii="Arial" w:hAnsi="Arial" w:cs="Arial"/>
          <w:b/>
          <w:bCs/>
          <w:sz w:val="26"/>
          <w:szCs w:val="26"/>
          <w:color w:val="1E4E79"/>
          <w:lang w:bidi="ar-DZ"/>
          <w:rtl/>
        </w:rPr>
        <w:t xml:space="preserve">بين الموقعين أدناه</w:t>
      </w:r>
    </w:p>
    <w:p>
      <w:pPr>
        <w:bidi/>
        <w:spacing w:before="0" w:after="120"/>
      </w:pPr>
      <w:r>
        <w:rPr>
          <w:rFonts w:ascii="Arial" w:hAnsi="Arial" w:cs="Arial"/>
          <w:b/>
          <w:bCs/>
          <w:lang w:bidi="ar-DZ"/>
          <w:rtl/>
        </w:rPr>
        <w:t xml:space="preserve">المستخدم:</w:t>
      </w:r>
      <w:r>
        <w:rPr>
          <w:rFonts w:ascii="Arial" w:hAnsi="Arial" w:cs="Arial"/>
          <w:lang w:bidi="ar-DZ"/>
          <w:rtl/>
        </w:rPr>
        <w:t xml:space="preserve"> </w:t>
      </w:r>
      <w:r>
        <w:rPr>
          <w:rFonts w:ascii="Arial" w:hAnsi="Arial" w:cs="Arial"/>
          <w:b/>
          <w:bCs/>
          <w:highlight w:val="yellow"/>
          <w:lang w:bidi="ar-DZ"/>
          <w:rtl/>
        </w:rPr>
        <w:t xml:space="preserve">[التسمية الاجتماعية]</w:t>
      </w:r>
      <w:r>
        <w:rPr>
          <w:rFonts w:ascii="Arial" w:hAnsi="Arial" w:cs="Arial"/>
          <w:lang w:bidi="ar-DZ"/>
          <w:rtl/>
        </w:rPr>
        <w:t xml:space="preserve">، </w:t>
      </w:r>
      <w:r>
        <w:rPr>
          <w:rFonts w:ascii="Arial" w:hAnsi="Arial" w:cs="Arial"/>
          <w:b/>
          <w:bCs/>
          <w:highlight w:val="yellow"/>
          <w:lang w:bidi="ar-DZ"/>
          <w:rtl/>
        </w:rPr>
        <w:t xml:space="preserve">[الشكل القانوني]</w:t>
      </w:r>
      <w:r>
        <w:rPr>
          <w:rFonts w:ascii="Arial" w:hAnsi="Arial" w:cs="Arial"/>
          <w:lang w:bidi="ar-DZ"/>
          <w:rtl/>
        </w:rPr>
        <w:t xml:space="preserve">، برأسمال قدره </w:t>
      </w:r>
      <w:r>
        <w:rPr>
          <w:rFonts w:ascii="Arial" w:hAnsi="Arial" w:cs="Arial"/>
          <w:b/>
          <w:bCs/>
          <w:highlight w:val="yellow"/>
          <w:lang w:bidi="ar-DZ"/>
          <w:rtl/>
        </w:rPr>
        <w:t xml:space="preserve">[مبلغ رأس المال]</w:t>
      </w:r>
      <w:r>
        <w:rPr>
          <w:rFonts w:ascii="Arial" w:hAnsi="Arial" w:cs="Arial"/>
          <w:lang w:bidi="ar-DZ"/>
          <w:rtl/>
        </w:rPr>
        <w:t xml:space="preserve"> دج، الكائن مقره الاجتماعي بـ </w:t>
      </w:r>
      <w:r>
        <w:rPr>
          <w:rFonts w:ascii="Arial" w:hAnsi="Arial" w:cs="Arial"/>
          <w:b/>
          <w:bCs/>
          <w:highlight w:val="yellow"/>
          <w:lang w:bidi="ar-DZ"/>
          <w:rtl/>
        </w:rPr>
        <w:t xml:space="preserve">[العنوان الكامل للمقر]</w:t>
      </w:r>
      <w:r>
        <w:rPr>
          <w:rFonts w:ascii="Arial" w:hAnsi="Arial" w:cs="Arial"/>
          <w:lang w:bidi="ar-DZ"/>
          <w:rtl/>
        </w:rPr>
        <w:t xml:space="preserve">، المسجل في السجل التجاري تحت رقم </w:t>
      </w:r>
      <w:r>
        <w:rPr>
          <w:rFonts w:ascii="Arial" w:hAnsi="Arial" w:cs="Arial"/>
          <w:b/>
          <w:bCs/>
          <w:highlight w:val="yellow"/>
          <w:lang w:bidi="ar-DZ"/>
          <w:rtl/>
        </w:rPr>
        <w:t xml:space="preserve">[رقم السجل التجاري]</w:t>
      </w:r>
      <w:r>
        <w:rPr>
          <w:rFonts w:ascii="Arial" w:hAnsi="Arial" w:cs="Arial"/>
          <w:lang w:bidi="ar-DZ"/>
          <w:rtl/>
        </w:rPr>
        <w:t xml:space="preserve">، رقم التعريف الجبائي </w:t>
      </w:r>
      <w:r>
        <w:rPr>
          <w:rFonts w:ascii="Arial" w:hAnsi="Arial" w:cs="Arial"/>
          <w:b/>
          <w:bCs/>
          <w:highlight w:val="yellow"/>
          <w:lang w:bidi="ar-DZ"/>
          <w:rtl/>
        </w:rPr>
        <w:t xml:space="preserve">[رقم التعريف الجبائي]</w:t>
      </w:r>
      <w:r>
        <w:rPr>
          <w:rFonts w:ascii="Arial" w:hAnsi="Arial" w:cs="Arial"/>
          <w:lang w:bidi="ar-DZ"/>
          <w:rtl/>
        </w:rPr>
        <w:t xml:space="preserve">، ويمثله </w:t>
      </w:r>
      <w:r>
        <w:rPr>
          <w:rFonts w:ascii="Arial" w:hAnsi="Arial" w:cs="Arial"/>
          <w:b/>
          <w:bCs/>
          <w:highlight w:val="yellow"/>
          <w:lang w:bidi="ar-DZ"/>
          <w:rtl/>
        </w:rPr>
        <w:t xml:space="preserve">[الاسم واللقب للممثل القانوني]</w:t>
      </w:r>
      <w:r>
        <w:rPr>
          <w:rFonts w:ascii="Arial" w:hAnsi="Arial" w:cs="Arial"/>
          <w:lang w:bidi="ar-DZ"/>
          <w:rtl/>
        </w:rPr>
        <w:t xml:space="preserve"> بصفته </w:t>
      </w:r>
      <w:r>
        <w:rPr>
          <w:rFonts w:ascii="Arial" w:hAnsi="Arial" w:cs="Arial"/>
          <w:b/>
          <w:bCs/>
          <w:highlight w:val="yellow"/>
          <w:lang w:bidi="ar-DZ"/>
          <w:rtl/>
        </w:rPr>
        <w:t xml:space="preserve">[صفة الممثل]</w:t>
      </w:r>
      <w:r>
        <w:rPr>
          <w:rFonts w:ascii="Arial" w:hAnsi="Arial" w:cs="Arial"/>
          <w:lang w:bidi="ar-DZ"/>
          <w:rtl/>
        </w:rPr>
        <w:t xml:space="preserve">،</w:t>
      </w:r>
    </w:p>
    <w:p>
      <w:pPr>
        <w:bidi/>
        <w:spacing w:before="0" w:after="120"/>
      </w:pPr>
      <w:r>
        <w:rPr>
          <w:rFonts w:ascii="Arial" w:hAnsi="Arial" w:cs="Arial"/>
          <w:lang w:bidi="ar-DZ"/>
          <w:rtl/>
        </w:rPr>
        <w:t xml:space="preserve">ويُدعى في ما يلي المستخدم، من جهة،</w:t>
      </w:r>
    </w:p>
    <w:p>
      <w:pPr>
        <w:bidi/>
        <w:spacing w:before="0" w:after="60"/>
      </w:pPr>
    </w:p>
    <w:p>
      <w:pPr>
        <w:bidi/>
        <w:spacing w:before="0" w:after="120"/>
      </w:pPr>
      <w:r>
        <w:rPr>
          <w:rFonts w:ascii="Arial" w:hAnsi="Arial" w:cs="Arial"/>
          <w:b/>
          <w:bCs/>
          <w:lang w:bidi="ar-DZ"/>
          <w:rtl/>
        </w:rPr>
        <w:t xml:space="preserve">العامل:</w:t>
      </w:r>
      <w:r>
        <w:rPr>
          <w:rFonts w:ascii="Arial" w:hAnsi="Arial" w:cs="Arial"/>
          <w:lang w:bidi="ar-DZ"/>
          <w:rtl/>
        </w:rPr>
        <w:t xml:space="preserve"> </w:t>
      </w:r>
      <w:r>
        <w:rPr>
          <w:rFonts w:ascii="Arial" w:hAnsi="Arial" w:cs="Arial"/>
          <w:b/>
          <w:bCs/>
          <w:highlight w:val="yellow"/>
          <w:lang w:bidi="ar-DZ"/>
          <w:rtl/>
        </w:rPr>
        <w:t xml:space="preserve">[الاسم واللقب للعامل]</w:t>
      </w:r>
      <w:r>
        <w:rPr>
          <w:rFonts w:ascii="Arial" w:hAnsi="Arial" w:cs="Arial"/>
          <w:lang w:bidi="ar-DZ"/>
          <w:rtl/>
        </w:rPr>
        <w:t xml:space="preserve">، المولود في </w:t>
      </w:r>
      <w:r>
        <w:rPr>
          <w:rFonts w:ascii="Arial" w:hAnsi="Arial" w:cs="Arial"/>
          <w:b/>
          <w:bCs/>
          <w:highlight w:val="yellow"/>
          <w:lang w:bidi="ar-DZ"/>
          <w:rtl/>
        </w:rPr>
        <w:t xml:space="preserve">[تاريخ الميلاد]</w:t>
      </w:r>
      <w:r>
        <w:rPr>
          <w:rFonts w:ascii="Arial" w:hAnsi="Arial" w:cs="Arial"/>
          <w:lang w:bidi="ar-DZ"/>
          <w:rtl/>
        </w:rPr>
        <w:t xml:space="preserve"> بـ </w:t>
      </w:r>
      <w:r>
        <w:rPr>
          <w:rFonts w:ascii="Arial" w:hAnsi="Arial" w:cs="Arial"/>
          <w:b/>
          <w:bCs/>
          <w:highlight w:val="yellow"/>
          <w:lang w:bidi="ar-DZ"/>
          <w:rtl/>
        </w:rPr>
        <w:t xml:space="preserve">[مكان الميلاد]</w:t>
      </w:r>
      <w:r>
        <w:rPr>
          <w:rFonts w:ascii="Arial" w:hAnsi="Arial" w:cs="Arial"/>
          <w:lang w:bidi="ar-DZ"/>
          <w:rtl/>
        </w:rPr>
        <w:t xml:space="preserve">، الجنسية </w:t>
      </w:r>
      <w:r>
        <w:rPr>
          <w:rFonts w:ascii="Arial" w:hAnsi="Arial" w:cs="Arial"/>
          <w:b/>
          <w:bCs/>
          <w:highlight w:val="yellow"/>
          <w:lang w:bidi="ar-DZ"/>
          <w:rtl/>
        </w:rPr>
        <w:t xml:space="preserve">[الجنسية]</w:t>
      </w:r>
      <w:r>
        <w:rPr>
          <w:rFonts w:ascii="Arial" w:hAnsi="Arial" w:cs="Arial"/>
          <w:lang w:bidi="ar-DZ"/>
          <w:rtl/>
        </w:rPr>
        <w:t xml:space="preserve">، الساكن بـ </w:t>
      </w:r>
      <w:r>
        <w:rPr>
          <w:rFonts w:ascii="Arial" w:hAnsi="Arial" w:cs="Arial"/>
          <w:b/>
          <w:bCs/>
          <w:highlight w:val="yellow"/>
          <w:lang w:bidi="ar-DZ"/>
          <w:rtl/>
        </w:rPr>
        <w:t xml:space="preserve">[العنوان الكامل للعامل]</w:t>
      </w:r>
      <w:r>
        <w:rPr>
          <w:rFonts w:ascii="Arial" w:hAnsi="Arial" w:cs="Arial"/>
          <w:lang w:bidi="ar-DZ"/>
          <w:rtl/>
        </w:rPr>
        <w:t xml:space="preserve">، حامل بطاقة الهوية رقم </w:t>
      </w:r>
      <w:r>
        <w:rPr>
          <w:rFonts w:ascii="Arial" w:hAnsi="Arial" w:cs="Arial"/>
          <w:b/>
          <w:bCs/>
          <w:highlight w:val="yellow"/>
          <w:lang w:bidi="ar-DZ"/>
          <w:rtl/>
        </w:rPr>
        <w:t xml:space="preserve">[رقم بطاقة الهوية]</w:t>
      </w:r>
      <w:r>
        <w:rPr>
          <w:rFonts w:ascii="Arial" w:hAnsi="Arial" w:cs="Arial"/>
          <w:lang w:bidi="ar-DZ"/>
          <w:rtl/>
        </w:rPr>
        <w:t xml:space="preserve">، رقم الضمان الاجتماعي </w:t>
      </w:r>
      <w:r>
        <w:rPr>
          <w:rFonts w:ascii="Arial" w:hAnsi="Arial" w:cs="Arial"/>
          <w:b/>
          <w:bCs/>
          <w:highlight w:val="yellow"/>
          <w:lang w:bidi="ar-DZ"/>
          <w:rtl/>
        </w:rPr>
        <w:t xml:space="preserve">[رقم الضمان الاجتماعي]</w:t>
      </w:r>
      <w:r>
        <w:rPr>
          <w:rFonts w:ascii="Arial" w:hAnsi="Arial" w:cs="Arial"/>
          <w:lang w:bidi="ar-DZ"/>
          <w:rtl/>
        </w:rPr>
        <w:t xml:space="preserve">،</w:t>
      </w:r>
    </w:p>
    <w:p>
      <w:pPr>
        <w:bidi/>
        <w:spacing w:before="0" w:after="120"/>
      </w:pPr>
      <w:r>
        <w:rPr>
          <w:rFonts w:ascii="Arial" w:hAnsi="Arial" w:cs="Arial"/>
          <w:lang w:bidi="ar-DZ"/>
          <w:rtl/>
        </w:rPr>
        <w:t xml:space="preserve">ويُدعى في ما يلي العامل، من جهة أخرى،</w:t>
      </w:r>
    </w:p>
    <w:p>
      <w:pPr>
        <w:bidi/>
        <w:spacing w:before="0" w:after="60"/>
      </w:pPr>
    </w:p>
    <w:p>
      <w:pPr>
        <w:bidi/>
        <w:spacing w:before="0" w:after="120"/>
      </w:pPr>
      <w:r>
        <w:rPr>
          <w:rFonts w:ascii="Arial" w:hAnsi="Arial" w:cs="Arial"/>
          <w:lang w:bidi="ar-DZ"/>
          <w:rtl/>
        </w:rPr>
        <w:t xml:space="preserve">تم الاتفاق على ما يأتي.</w:t>
      </w:r>
    </w:p>
    <w:p>
      <w:pPr>
        <w:bidi/>
        <w:spacing w:before="260" w:after="120"/>
      </w:pPr>
      <w:r>
        <w:rPr>
          <w:rFonts w:ascii="Arial" w:hAnsi="Arial" w:cs="Arial"/>
          <w:b/>
          <w:bCs/>
          <w:sz w:val="26"/>
          <w:szCs w:val="26"/>
          <w:color w:val="1E4E79"/>
          <w:lang w:bidi="ar-DZ"/>
          <w:rtl/>
        </w:rPr>
        <w:t xml:space="preserve">المادة 1: موضوع العقد وطبيعته</w:t>
      </w:r>
    </w:p>
    <w:p>
      <w:pPr>
        <w:bidi/>
        <w:spacing w:before="0" w:after="120"/>
      </w:pPr>
      <w:r>
        <w:rPr>
          <w:rFonts w:ascii="Arial" w:hAnsi="Arial" w:cs="Arial"/>
          <w:lang w:bidi="ar-DZ"/>
          <w:rtl/>
        </w:rPr>
        <w:t xml:space="preserve">يوظف المستخدم العامل، الذي يقبل ذلك، في إطار عقد عمل محدود المدة يحكمه القانون رقم 90-11 المؤرخ في 21 أبريل سنة 1990، المعدل والمتمم، المتعلق بعلاقات العمل.</w:t>
      </w:r>
    </w:p>
    <w:p>
      <w:pPr>
        <w:bidi/>
        <w:spacing w:before="0" w:after="120"/>
      </w:pPr>
      <w:r>
        <w:rPr>
          <w:rFonts w:ascii="Arial" w:hAnsi="Arial" w:cs="Arial"/>
          <w:lang w:bidi="ar-DZ"/>
          <w:rtl/>
        </w:rPr>
        <w:t xml:space="preserve">ويُبرم العقد بـ </w:t>
      </w:r>
      <w:r>
        <w:rPr>
          <w:rFonts w:ascii="Arial" w:hAnsi="Arial" w:cs="Arial"/>
          <w:b/>
          <w:bCs/>
          <w:highlight w:val="yellow"/>
          <w:lang w:bidi="ar-DZ"/>
          <w:rtl/>
        </w:rPr>
        <w:t xml:space="preserve">[التوقيت الكامل أو التوقيت الجزئي]</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السند القانوني: المادة 12 من القانون 90-11 التي تُجيز الإبرام بالتوقيت الكامل أو الجزئي. وفي حالة التوقيت الجزئي، تمنع المادة 13 أن يقل عن نصف المدة القانونية للعمل.</w:t>
      </w:r>
    </w:p>
    <w:p>
      <w:pPr>
        <w:bidi/>
        <w:spacing w:before="260" w:after="120"/>
      </w:pPr>
      <w:r>
        <w:rPr>
          <w:rFonts w:ascii="Arial" w:hAnsi="Arial" w:cs="Arial"/>
          <w:b/>
          <w:bCs/>
          <w:sz w:val="26"/>
          <w:szCs w:val="26"/>
          <w:color w:val="1E4E79"/>
          <w:lang w:bidi="ar-DZ"/>
          <w:rtl/>
        </w:rPr>
        <w:t xml:space="preserve">المادة 2: مدة العقد</w:t>
      </w:r>
    </w:p>
    <w:p>
      <w:pPr>
        <w:bidi/>
        <w:spacing w:before="0" w:after="120"/>
      </w:pPr>
      <w:r>
        <w:rPr>
          <w:rFonts w:ascii="Arial" w:hAnsi="Arial" w:cs="Arial"/>
          <w:lang w:bidi="ar-DZ"/>
          <w:rtl/>
        </w:rPr>
        <w:t xml:space="preserve">يُبرم هذا العقد لمدة محدودة. ويسري ابتداءً من </w:t>
      </w:r>
      <w:r>
        <w:rPr>
          <w:rFonts w:ascii="Arial" w:hAnsi="Arial" w:cs="Arial"/>
          <w:b/>
          <w:bCs/>
          <w:highlight w:val="yellow"/>
          <w:lang w:bidi="ar-DZ"/>
          <w:rtl/>
        </w:rPr>
        <w:t xml:space="preserve">[تاريخ البداية]</w:t>
      </w:r>
      <w:r>
        <w:rPr>
          <w:rFonts w:ascii="Arial" w:hAnsi="Arial" w:cs="Arial"/>
          <w:lang w:bidi="ar-DZ"/>
          <w:rtl/>
        </w:rPr>
        <w:t xml:space="preserve"> وينتهي في </w:t>
      </w:r>
      <w:r>
        <w:rPr>
          <w:rFonts w:ascii="Arial" w:hAnsi="Arial" w:cs="Arial"/>
          <w:b/>
          <w:bCs/>
          <w:highlight w:val="yellow"/>
          <w:lang w:bidi="ar-DZ"/>
          <w:rtl/>
        </w:rPr>
        <w:t xml:space="preserve">[تاريخ النهاية]</w:t>
      </w:r>
      <w:r>
        <w:rPr>
          <w:rFonts w:ascii="Arial" w:hAnsi="Arial" w:cs="Arial"/>
          <w:lang w:bidi="ar-DZ"/>
          <w:rtl/>
        </w:rPr>
        <w:t xml:space="preserve">.</w:t>
      </w:r>
    </w:p>
    <w:p>
      <w:pPr>
        <w:bidi/>
        <w:spacing w:before="0" w:after="120"/>
      </w:pPr>
      <w:r>
        <w:rPr>
          <w:rFonts w:ascii="Arial" w:hAnsi="Arial" w:cs="Arial"/>
          <w:lang w:bidi="ar-DZ"/>
          <w:rtl/>
        </w:rPr>
        <w:t xml:space="preserve">وعندما لا يكون الأجل تاريخاً بل حدثاً، يُبين هنا أن العقد ينتهي بـ </w:t>
      </w:r>
      <w:r>
        <w:rPr>
          <w:rFonts w:ascii="Arial" w:hAnsi="Arial" w:cs="Arial"/>
          <w:b/>
          <w:bCs/>
          <w:highlight w:val="yellow"/>
          <w:lang w:bidi="ar-DZ"/>
          <w:rtl/>
        </w:rPr>
        <w:t xml:space="preserve">[الحدث المنهي للعقد]</w:t>
      </w:r>
      <w:r>
        <w:rPr>
          <w:rFonts w:ascii="Arial" w:hAnsi="Arial" w:cs="Arial"/>
          <w:lang w:bidi="ar-DZ"/>
          <w:rtl/>
        </w:rPr>
        <w:t xml:space="preserve">، ولا سيما، في حالة الاستخلاف، بعودة </w:t>
      </w:r>
      <w:r>
        <w:rPr>
          <w:rFonts w:ascii="Arial" w:hAnsi="Arial" w:cs="Arial"/>
          <w:b/>
          <w:bCs/>
          <w:highlight w:val="yellow"/>
          <w:lang w:bidi="ar-DZ"/>
          <w:rtl/>
        </w:rPr>
        <w:t xml:space="preserve">[اسم العامل المستخلَف]</w:t>
      </w:r>
      <w:r>
        <w:rPr>
          <w:rFonts w:ascii="Arial" w:hAnsi="Arial" w:cs="Arial"/>
          <w:lang w:bidi="ar-DZ"/>
          <w:rtl/>
        </w:rPr>
        <w:t xml:space="preserve"> الغائب بسبب </w:t>
      </w:r>
      <w:r>
        <w:rPr>
          <w:rFonts w:ascii="Arial" w:hAnsi="Arial" w:cs="Arial"/>
          <w:b/>
          <w:bCs/>
          <w:highlight w:val="yellow"/>
          <w:lang w:bidi="ar-DZ"/>
          <w:rtl/>
        </w:rPr>
        <w:t xml:space="preserve">[سبب غياب العامل المثبت]</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السند القانوني: الفقرة الأخيرة من المادة 12 من القانون 90-11 التي تفرض على العقد أن يُبين مدة علاقة العمل. والمادة 66 لانتهاء العلاقة بانقضاء أجل العقد ذي المدة المحدودة.</w:t>
      </w:r>
    </w:p>
    <w:p>
      <w:pPr>
        <w:bidi/>
        <w:spacing w:before="260" w:after="120"/>
      </w:pPr>
      <w:r>
        <w:rPr>
          <w:rFonts w:ascii="Arial" w:hAnsi="Arial" w:cs="Arial"/>
          <w:b/>
          <w:bCs/>
          <w:sz w:val="26"/>
          <w:szCs w:val="26"/>
          <w:color w:val="1E4E79"/>
          <w:lang w:bidi="ar-DZ"/>
          <w:rtl/>
        </w:rPr>
        <w:t xml:space="preserve">المادة 3: حالة اللجوء إلى العقد محدود المدة</w:t>
      </w:r>
    </w:p>
    <w:p>
      <w:pPr>
        <w:bidi/>
        <w:spacing w:before="0" w:after="120"/>
      </w:pPr>
      <w:r>
        <w:rPr>
          <w:rFonts w:ascii="Arial" w:hAnsi="Arial" w:cs="Arial"/>
          <w:lang w:bidi="ar-DZ"/>
          <w:rtl/>
        </w:rPr>
        <w:t xml:space="preserve">يُصرح الطرفان بأن هذا العقد مُبرم في الحالة الآتية، المنصوص عليها صراحةً في المادة 12 من القانون 90-11. أشّروا على الحالة المنطبقة واحذفوا البقية.</w:t>
      </w:r>
    </w:p>
    <w:p>
      <w:pPr>
        <w:bidi/>
        <w:numPr>
          <w:ilvl w:val="0"/>
          <w:numId w:val="2"/>
        </w:numPr>
        <w:spacing w:before="0" w:after="60"/>
      </w:pPr>
      <w:r>
        <w:rPr>
          <w:rFonts w:ascii="Arial" w:hAnsi="Arial" w:cs="Arial"/>
          <w:lang w:bidi="ar-DZ"/>
          <w:rtl/>
        </w:rPr>
        <w:t xml:space="preserve">يُوظف العامل لتنفيذ عمل مرتبط بعقود أشغال أو خدمات غير متجددة.</w:t>
      </w:r>
    </w:p>
    <w:p>
      <w:pPr>
        <w:bidi/>
        <w:numPr>
          <w:ilvl w:val="0"/>
          <w:numId w:val="2"/>
        </w:numPr>
        <w:spacing w:before="0" w:after="60"/>
      </w:pPr>
      <w:r>
        <w:rPr>
          <w:rFonts w:ascii="Arial" w:hAnsi="Arial" w:cs="Arial"/>
          <w:lang w:bidi="ar-DZ"/>
          <w:rtl/>
        </w:rPr>
        <w:t xml:space="preserve">يتعلق الأمر باستخلاف عامل مثبت في منصب تغيب عنه مؤقتاً، ويجب على المستخدم أن يحتفظ بمنصب العمل لصاحبه.</w:t>
      </w:r>
    </w:p>
    <w:p>
      <w:pPr>
        <w:bidi/>
        <w:numPr>
          <w:ilvl w:val="0"/>
          <w:numId w:val="2"/>
        </w:numPr>
        <w:spacing w:before="0" w:after="60"/>
      </w:pPr>
      <w:r>
        <w:rPr>
          <w:rFonts w:ascii="Arial" w:hAnsi="Arial" w:cs="Arial"/>
          <w:lang w:bidi="ar-DZ"/>
          <w:rtl/>
        </w:rPr>
        <w:t xml:space="preserve">يتطلب الأمر من الهيئة المستخدمة إجراء أشغال دورية ذات طابع متقطع.</w:t>
      </w:r>
    </w:p>
    <w:p>
      <w:pPr>
        <w:bidi/>
        <w:numPr>
          <w:ilvl w:val="0"/>
          <w:numId w:val="2"/>
        </w:numPr>
        <w:spacing w:before="0" w:after="60"/>
      </w:pPr>
      <w:r>
        <w:rPr>
          <w:rFonts w:ascii="Arial" w:hAnsi="Arial" w:cs="Arial"/>
          <w:lang w:bidi="ar-DZ"/>
          <w:rtl/>
        </w:rPr>
        <w:t xml:space="preserve">يبرر ذلك تزايد العمل أو أسباب موسمية.</w:t>
      </w:r>
    </w:p>
    <w:p>
      <w:pPr>
        <w:bidi/>
        <w:numPr>
          <w:ilvl w:val="0"/>
          <w:numId w:val="2"/>
        </w:numPr>
        <w:spacing w:before="0" w:after="60"/>
      </w:pPr>
      <w:r>
        <w:rPr>
          <w:rFonts w:ascii="Arial" w:hAnsi="Arial" w:cs="Arial"/>
          <w:lang w:bidi="ar-DZ"/>
          <w:rtl/>
        </w:rPr>
        <w:t xml:space="preserve">يتعلق الأمر بنشاطات أو مناصب عمل ذات مدة محدودة أو مؤقتة بحكم طبيعتها.</w:t>
      </w:r>
    </w:p>
    <w:p>
      <w:pPr>
        <w:bidi/>
        <w:spacing w:before="0" w:after="100"/>
      </w:pPr>
      <w:r>
        <w:rPr>
          <w:rFonts w:ascii="Arial" w:hAnsi="Arial" w:cs="Arial"/>
          <w:i/>
          <w:iCs/>
          <w:sz w:val="16"/>
          <w:szCs w:val="16"/>
          <w:color w:val="5A6B7C"/>
          <w:lang w:bidi="ar-DZ"/>
          <w:rtl/>
        </w:rPr>
        <w:t xml:space="preserve">السند القانوني: المادة 12 من القانون 90-11. وقد أُضيفت الحالة الخامسة إلى هذه المادة بالمادة 2 من الأمر رقم 96-21 المؤرخ في 9 يوليو سنة 1996.</w:t>
      </w:r>
    </w:p>
    <w:p>
      <w:pPr>
        <w:bidi/>
        <w:spacing w:before="260" w:after="120"/>
      </w:pPr>
      <w:r>
        <w:rPr>
          <w:rFonts w:ascii="Arial" w:hAnsi="Arial" w:cs="Arial"/>
          <w:b/>
          <w:bCs/>
          <w:sz w:val="26"/>
          <w:szCs w:val="26"/>
          <w:color w:val="1E4E79"/>
          <w:lang w:bidi="ar-DZ"/>
          <w:rtl/>
        </w:rPr>
        <w:t xml:space="preserve">المادة 4: أسباب المدة المقررة</w:t>
      </w:r>
    </w:p>
    <w:p>
      <w:pPr>
        <w:bidi/>
        <w:spacing w:before="0" w:after="120"/>
      </w:pPr>
      <w:r>
        <w:rPr>
          <w:rFonts w:ascii="Arial" w:hAnsi="Arial" w:cs="Arial"/>
          <w:lang w:bidi="ar-DZ"/>
          <w:rtl/>
        </w:rPr>
        <w:t xml:space="preserve">المدة المحددة في المادة 2 أعلاه مقررة للسبب الآتي: </w:t>
      </w:r>
      <w:r>
        <w:rPr>
          <w:rFonts w:ascii="Arial" w:hAnsi="Arial" w:cs="Arial"/>
          <w:b/>
          <w:bCs/>
          <w:highlight w:val="yellow"/>
          <w:lang w:bidi="ar-DZ"/>
          <w:rtl/>
        </w:rPr>
        <w:t xml:space="preserve">[سبب المدة المقررة في جملة ملموسة]</w:t>
      </w:r>
      <w:r>
        <w:rPr>
          <w:rFonts w:ascii="Arial" w:hAnsi="Arial" w:cs="Arial"/>
          <w:lang w:bidi="ar-DZ"/>
          <w:rtl/>
        </w:rPr>
        <w:t xml:space="preserve">.</w:t>
      </w:r>
    </w:p>
    <w:p>
      <w:pPr>
        <w:bidi/>
        <w:spacing w:before="0" w:after="120"/>
      </w:pPr>
      <w:r>
        <w:rPr>
          <w:rFonts w:ascii="Arial" w:hAnsi="Arial" w:cs="Arial"/>
          <w:lang w:bidi="ar-DZ"/>
          <w:rtl/>
        </w:rPr>
        <w:t xml:space="preserve">ويُقر الطرفان بأن هذه المدة تطابق النشاط الذي وُظف من أجله العامل.</w:t>
      </w:r>
    </w:p>
    <w:p>
      <w:pPr>
        <w:bidi/>
        <w:spacing w:before="0" w:after="100"/>
      </w:pPr>
      <w:r>
        <w:rPr>
          <w:rFonts w:ascii="Arial" w:hAnsi="Arial" w:cs="Arial"/>
          <w:i/>
          <w:iCs/>
          <w:sz w:val="16"/>
          <w:szCs w:val="16"/>
          <w:color w:val="5A6B7C"/>
          <w:lang w:bidi="ar-DZ"/>
          <w:rtl/>
        </w:rPr>
        <w:t xml:space="preserve">السند القانوني: الفقرة الأخيرة من المادة 12 من القانون 90-11 التي تفرض بيان أسباب المدة المقررة. والمادة 12 مكرر، التي أنشأها الأمر 96-21: يتأكد مفتش العمل المختص إقليمياً من أن العقد مُبرم لإحدى حالات المادة 12 ومن أن المدة المنصوص عليها تطابق النشاط الذي وُظف من أجله العامل.</w:t>
      </w:r>
    </w:p>
    <w:p>
      <w:pPr>
        <w:bidi/>
        <w:spacing w:before="260" w:after="120"/>
      </w:pPr>
      <w:r>
        <w:rPr>
          <w:rFonts w:ascii="Arial" w:hAnsi="Arial" w:cs="Arial"/>
          <w:b/>
          <w:bCs/>
          <w:sz w:val="26"/>
          <w:szCs w:val="26"/>
          <w:color w:val="1E4E79"/>
          <w:lang w:bidi="ar-DZ"/>
          <w:rtl/>
        </w:rPr>
        <w:t xml:space="preserve">المادة 5: المدة التجريبية</w:t>
      </w:r>
    </w:p>
    <w:p>
      <w:pPr>
        <w:bidi/>
        <w:spacing w:before="0" w:after="120"/>
      </w:pPr>
      <w:r>
        <w:rPr>
          <w:rFonts w:ascii="Arial" w:hAnsi="Arial" w:cs="Arial"/>
          <w:lang w:bidi="ar-DZ"/>
          <w:rtl/>
        </w:rPr>
        <w:t xml:space="preserve">يخضع العامل لمدة تجريبية قدرها </w:t>
      </w:r>
      <w:r>
        <w:rPr>
          <w:rFonts w:ascii="Arial" w:hAnsi="Arial" w:cs="Arial"/>
          <w:b/>
          <w:bCs/>
          <w:highlight w:val="yellow"/>
          <w:lang w:bidi="ar-DZ"/>
          <w:rtl/>
        </w:rPr>
        <w:t xml:space="preserve">[مدة الفترة التجريبية]</w:t>
      </w:r>
      <w:r>
        <w:rPr>
          <w:rFonts w:ascii="Arial" w:hAnsi="Arial" w:cs="Arial"/>
          <w:lang w:bidi="ar-DZ"/>
          <w:rtl/>
        </w:rPr>
        <w:t xml:space="preserve"> ابتداءً من تاريخ سريان العقد. ويجوز لأحد الطرفين خلال هذه المدة أن يفسخ علاقة العمل في أي وقت دون تعويض ومن غير إشعار مسبق.</w:t>
      </w:r>
    </w:p>
    <w:p>
      <w:pPr>
        <w:bidi/>
        <w:spacing w:before="0" w:after="100"/>
      </w:pPr>
      <w:r>
        <w:rPr>
          <w:rFonts w:ascii="Arial" w:hAnsi="Arial" w:cs="Arial"/>
          <w:i/>
          <w:iCs/>
          <w:sz w:val="16"/>
          <w:szCs w:val="16"/>
          <w:color w:val="5A6B7C"/>
          <w:lang w:bidi="ar-DZ"/>
          <w:rtl/>
        </w:rPr>
        <w:t xml:space="preserve">السند القانوني: المواد 18 و19 و20 من القانون 90-11. والسقف القانوني والاختلاف بين طبعتي الجريدة الرسمية مشروحان على upgrowth.dz/ar/modele-contrat-travail-cdi-algerie. ومدة تجريبية من عدة أشهر داخل عقد من بضعة أشهر تُفرغ العقد من معناه.</w:t>
      </w:r>
    </w:p>
    <w:p>
      <w:pPr>
        <w:bidi/>
        <w:spacing w:before="260" w:after="120"/>
      </w:pPr>
      <w:r>
        <w:rPr>
          <w:rFonts w:ascii="Arial" w:hAnsi="Arial" w:cs="Arial"/>
          <w:b/>
          <w:bCs/>
          <w:sz w:val="26"/>
          <w:szCs w:val="26"/>
          <w:color w:val="1E4E79"/>
          <w:lang w:bidi="ar-DZ"/>
          <w:rtl/>
        </w:rPr>
        <w:t xml:space="preserve">المادة 6: المهام والتصنيف ومكان العمل</w:t>
      </w:r>
    </w:p>
    <w:p>
      <w:pPr>
        <w:bidi/>
        <w:spacing w:before="0" w:after="120"/>
      </w:pPr>
      <w:r>
        <w:rPr>
          <w:rFonts w:ascii="Arial" w:hAnsi="Arial" w:cs="Arial"/>
          <w:lang w:bidi="ar-DZ"/>
          <w:rtl/>
        </w:rPr>
        <w:t xml:space="preserve">يُوظف العامل بصفة </w:t>
      </w:r>
      <w:r>
        <w:rPr>
          <w:rFonts w:ascii="Arial" w:hAnsi="Arial" w:cs="Arial"/>
          <w:b/>
          <w:bCs/>
          <w:highlight w:val="yellow"/>
          <w:lang w:bidi="ar-DZ"/>
          <w:rtl/>
        </w:rPr>
        <w:t xml:space="preserve">[تسمية منصب العمل]</w:t>
      </w:r>
      <w:r>
        <w:rPr>
          <w:rFonts w:ascii="Arial" w:hAnsi="Arial" w:cs="Arial"/>
          <w:lang w:bidi="ar-DZ"/>
          <w:rtl/>
        </w:rPr>
        <w:t xml:space="preserve">، مصنفاً في </w:t>
      </w:r>
      <w:r>
        <w:rPr>
          <w:rFonts w:ascii="Arial" w:hAnsi="Arial" w:cs="Arial"/>
          <w:b/>
          <w:bCs/>
          <w:highlight w:val="yellow"/>
          <w:lang w:bidi="ar-DZ"/>
          <w:rtl/>
        </w:rPr>
        <w:t xml:space="preserve">[الصنف أو التصنيف المهني]</w:t>
      </w:r>
      <w:r>
        <w:rPr>
          <w:rFonts w:ascii="Arial" w:hAnsi="Arial" w:cs="Arial"/>
          <w:lang w:bidi="ar-DZ"/>
          <w:rtl/>
        </w:rPr>
        <w:t xml:space="preserve">، ويمارس مهامه بـ </w:t>
      </w:r>
      <w:r>
        <w:rPr>
          <w:rFonts w:ascii="Arial" w:hAnsi="Arial" w:cs="Arial"/>
          <w:b/>
          <w:bCs/>
          <w:highlight w:val="yellow"/>
          <w:lang w:bidi="ar-DZ"/>
          <w:rtl/>
        </w:rPr>
        <w:t xml:space="preserve">[مكان العمل والعنوان الكامل]</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السند القانوني: المواد 6 و7 و81 من القانون 90-11.</w:t>
      </w:r>
    </w:p>
    <w:p>
      <w:pPr>
        <w:bidi/>
        <w:spacing w:before="260" w:after="120"/>
      </w:pPr>
      <w:r>
        <w:rPr>
          <w:rFonts w:ascii="Arial" w:hAnsi="Arial" w:cs="Arial"/>
          <w:b/>
          <w:bCs/>
          <w:sz w:val="26"/>
          <w:szCs w:val="26"/>
          <w:color w:val="1E4E79"/>
          <w:lang w:bidi="ar-DZ"/>
          <w:rtl/>
        </w:rPr>
        <w:t xml:space="preserve">المادة 7: مدة العمل والساعات الإضافية</w:t>
      </w:r>
    </w:p>
    <w:p>
      <w:pPr>
        <w:bidi/>
        <w:spacing w:before="0" w:after="120"/>
      </w:pPr>
      <w:r>
        <w:rPr>
          <w:rFonts w:ascii="Arial" w:hAnsi="Arial" w:cs="Arial"/>
          <w:lang w:bidi="ar-DZ"/>
          <w:rtl/>
        </w:rPr>
        <w:t xml:space="preserve">تُحدد المدة القانونية الأسبوعية للعمل بأربعين ساعة في ظروف العمل العادية، وتُوزع على خمسة أيام عمل على الأقل. والتوقيت المطبق هو </w:t>
      </w:r>
      <w:r>
        <w:rPr>
          <w:rFonts w:ascii="Arial" w:hAnsi="Arial" w:cs="Arial"/>
          <w:b/>
          <w:bCs/>
          <w:highlight w:val="yellow"/>
          <w:lang w:bidi="ar-DZ"/>
          <w:rtl/>
        </w:rPr>
        <w:t xml:space="preserve">[التوقيت المطبق]</w:t>
      </w:r>
      <w:r>
        <w:rPr>
          <w:rFonts w:ascii="Arial" w:hAnsi="Arial" w:cs="Arial"/>
          <w:lang w:bidi="ar-DZ"/>
          <w:rtl/>
        </w:rPr>
        <w:t xml:space="preserve">. ولا تتجاوز مدة العمل اليومي الفعلي اثنتي عشرة ساعة في أي حال.</w:t>
      </w:r>
    </w:p>
    <w:p>
      <w:pPr>
        <w:bidi/>
        <w:spacing w:before="0" w:after="120"/>
      </w:pPr>
      <w:r>
        <w:rPr>
          <w:rFonts w:ascii="Arial" w:hAnsi="Arial" w:cs="Arial"/>
          <w:lang w:bidi="ar-DZ"/>
          <w:rtl/>
        </w:rPr>
        <w:t xml:space="preserve">ويكون اللجوء إلى الساعات الإضافية استجابةً لضرورة مطلقة في الخدمة، ويكتسي طابعاً استثنائياً، ولا يتعدى عشرين بالمائة من المدة القانونية. ولا تقل الزيادة عن خمسين بالمائة من الأجر العادي للساعة.</w:t>
      </w:r>
    </w:p>
    <w:p>
      <w:pPr>
        <w:bidi/>
        <w:spacing w:before="0" w:after="100"/>
      </w:pPr>
      <w:r>
        <w:rPr>
          <w:rFonts w:ascii="Arial" w:hAnsi="Arial" w:cs="Arial"/>
          <w:i/>
          <w:iCs/>
          <w:sz w:val="16"/>
          <w:szCs w:val="16"/>
          <w:color w:val="5A6B7C"/>
          <w:lang w:bidi="ar-DZ"/>
          <w:rtl/>
        </w:rPr>
        <w:t xml:space="preserve">السند القانوني: المواد 2 و6 و7 من الأمر رقم 97-03 المؤرخ في 11 يناير سنة 1997، الذي تُلغي مادته 8 المواد من 22 إلى 26 من القانون 90-11. والمادتان 31 و32 من القانون 90-11 للساعات الإضافية.</w:t>
      </w:r>
    </w:p>
    <w:p>
      <w:pPr>
        <w:bidi/>
        <w:spacing w:before="260" w:after="120"/>
      </w:pPr>
      <w:r>
        <w:rPr>
          <w:rFonts w:ascii="Arial" w:hAnsi="Arial" w:cs="Arial"/>
          <w:b/>
          <w:bCs/>
          <w:sz w:val="26"/>
          <w:szCs w:val="26"/>
          <w:color w:val="1E4E79"/>
          <w:lang w:bidi="ar-DZ"/>
          <w:rtl/>
        </w:rPr>
        <w:t xml:space="preserve">المادة 8: الأجر</w:t>
      </w:r>
    </w:p>
    <w:p>
      <w:pPr>
        <w:bidi/>
        <w:spacing w:before="0" w:after="120"/>
      </w:pPr>
      <w:r>
        <w:rPr>
          <w:rFonts w:ascii="Arial" w:hAnsi="Arial" w:cs="Arial"/>
          <w:lang w:bidi="ar-DZ"/>
          <w:rtl/>
        </w:rPr>
        <w:t xml:space="preserve">يتقاضى العامل أجراً أساسياً شهرياً إجمالياً قدره </w:t>
      </w:r>
      <w:r>
        <w:rPr>
          <w:rFonts w:ascii="Arial" w:hAnsi="Arial" w:cs="Arial"/>
          <w:b/>
          <w:bCs/>
          <w:highlight w:val="yellow"/>
          <w:lang w:bidi="ar-DZ"/>
          <w:rtl/>
        </w:rPr>
        <w:t xml:space="preserve">[مبلغ الأجر الأساسي]</w:t>
      </w:r>
      <w:r>
        <w:rPr>
          <w:rFonts w:ascii="Arial" w:hAnsi="Arial" w:cs="Arial"/>
          <w:lang w:bidi="ar-DZ"/>
          <w:rtl/>
        </w:rPr>
        <w:t xml:space="preserve"> دج، يُضاف إليه عند الاقتضاء </w:t>
      </w:r>
      <w:r>
        <w:rPr>
          <w:rFonts w:ascii="Arial" w:hAnsi="Arial" w:cs="Arial"/>
          <w:b/>
          <w:bCs/>
          <w:highlight w:val="yellow"/>
          <w:lang w:bidi="ar-DZ"/>
          <w:rtl/>
        </w:rPr>
        <w:t xml:space="preserve">[عناصر الأجر التكميلية]</w:t>
      </w:r>
      <w:r>
        <w:rPr>
          <w:rFonts w:ascii="Arial" w:hAnsi="Arial" w:cs="Arial"/>
          <w:lang w:bidi="ar-DZ"/>
          <w:rtl/>
        </w:rPr>
        <w:t xml:space="preserve">. ويُدفع الأجر بوسائل نقدية محضة، في آجاله، ويُفصّل في كشف الراتب الدوري.</w:t>
      </w:r>
    </w:p>
    <w:p>
      <w:pPr>
        <w:bidi/>
        <w:spacing w:before="0" w:after="120"/>
      </w:pPr>
      <w:r>
        <w:rPr>
          <w:rFonts w:ascii="Arial" w:hAnsi="Arial" w:cs="Arial"/>
          <w:lang w:bidi="ar-DZ"/>
          <w:rtl/>
        </w:rPr>
        <w:t xml:space="preserve">ولا يمكن أن يقل الأجر عن الأجر الوطني الأدنى المضمون الساري، المحدد بمرسوم.</w:t>
      </w:r>
    </w:p>
    <w:p>
      <w:pPr>
        <w:bidi/>
        <w:spacing w:before="0" w:after="100"/>
      </w:pPr>
      <w:r>
        <w:rPr>
          <w:rFonts w:ascii="Arial" w:hAnsi="Arial" w:cs="Arial"/>
          <w:i/>
          <w:iCs/>
          <w:sz w:val="16"/>
          <w:szCs w:val="16"/>
          <w:color w:val="5A6B7C"/>
          <w:lang w:bidi="ar-DZ"/>
          <w:rtl/>
        </w:rPr>
        <w:t xml:space="preserve">السند القانوني: المواد 80 و81 و84 و85 و86 و87 و88 من القانون 90-11. ويحدد المرسوم الرئاسي رقم 26-01 المؤرخ في 7 يناير سنة 2026 الأجر الوطني الأدنى المضمون بأربعة وعشرين ألف دينار شهرياً، أي 138,46 ديناراً للساعة على أساس 173,33 ساعة شهرياً، ويسري ابتداءً من أول يناير سنة 2026.</w:t>
      </w:r>
    </w:p>
    <w:p>
      <w:pPr>
        <w:bidi/>
        <w:spacing w:before="260" w:after="120"/>
      </w:pPr>
      <w:r>
        <w:rPr>
          <w:rFonts w:ascii="Arial" w:hAnsi="Arial" w:cs="Arial"/>
          <w:b/>
          <w:bCs/>
          <w:sz w:val="26"/>
          <w:szCs w:val="26"/>
          <w:color w:val="1E4E79"/>
          <w:lang w:bidi="ar-DZ"/>
          <w:rtl/>
        </w:rPr>
        <w:t xml:space="preserve">المادة 9: العطلة السنوية المدفوعة الأجر</w:t>
      </w:r>
    </w:p>
    <w:p>
      <w:pPr>
        <w:bidi/>
        <w:spacing w:before="0" w:after="120"/>
      </w:pPr>
      <w:r>
        <w:rPr>
          <w:rFonts w:ascii="Arial" w:hAnsi="Arial" w:cs="Arial"/>
          <w:lang w:bidi="ar-DZ"/>
          <w:rtl/>
        </w:rPr>
        <w:t xml:space="preserve">للعامل الحق في عطلة سنوية مدفوعة الأجر تُحسب على أساس يومين ونصف يوم في كل شهر عمل، في حدود ثلاثين يوماً تقويمياً عن سنة العمل الواحدة.</w:t>
      </w:r>
    </w:p>
    <w:p>
      <w:pPr>
        <w:bidi/>
        <w:spacing w:before="0" w:after="120"/>
      </w:pPr>
      <w:r>
        <w:rPr>
          <w:rFonts w:ascii="Arial" w:hAnsi="Arial" w:cs="Arial"/>
          <w:lang w:bidi="ar-DZ"/>
          <w:rtl/>
        </w:rPr>
        <w:t xml:space="preserve">وكل فترة تساوي أربعة وعشرين يوم عمل كامل أو أربعة أسابيع عمل تعادل شهر عمل فعلي إذا تعلق الأمر بتحديد مدة العطلة، وتساوي هذه الفترة 180 ساعة عمل للعمال الموسميين أو العاملين بالتوقيت الجزئي. وكل فترة تتعدى خمسة عشر يوم عمل من الشهر الأول للتوظيف تعادل شهر عمل لحساب العطلة السنوية المدفوعة الأجر.</w:t>
      </w:r>
    </w:p>
    <w:p>
      <w:pPr>
        <w:bidi/>
        <w:spacing w:before="0" w:after="100"/>
      </w:pPr>
      <w:r>
        <w:rPr>
          <w:rFonts w:ascii="Arial" w:hAnsi="Arial" w:cs="Arial"/>
          <w:i/>
          <w:iCs/>
          <w:sz w:val="16"/>
          <w:szCs w:val="16"/>
          <w:color w:val="5A6B7C"/>
          <w:lang w:bidi="ar-DZ"/>
          <w:rtl/>
        </w:rPr>
        <w:t xml:space="preserve">السند القانوني: المواد 39 و40 و41 و43 من القانون 90-11، والمادة 44 في صيغتها الناتجة عن الأمر 96-21.</w:t>
      </w:r>
    </w:p>
    <w:p>
      <w:pPr>
        <w:bidi/>
        <w:spacing w:before="260" w:after="120"/>
      </w:pPr>
      <w:r>
        <w:rPr>
          <w:rFonts w:ascii="Arial" w:hAnsi="Arial" w:cs="Arial"/>
          <w:b/>
          <w:bCs/>
          <w:sz w:val="26"/>
          <w:szCs w:val="26"/>
          <w:color w:val="1E4E79"/>
          <w:lang w:bidi="ar-DZ"/>
          <w:rtl/>
        </w:rPr>
        <w:t xml:space="preserve">المادة 10: التجديد</w:t>
      </w:r>
    </w:p>
    <w:p>
      <w:pPr>
        <w:bidi/>
        <w:spacing w:before="0" w:after="120"/>
      </w:pPr>
      <w:r>
        <w:rPr>
          <w:rFonts w:ascii="Arial" w:hAnsi="Arial" w:cs="Arial"/>
          <w:lang w:bidi="ar-DZ"/>
          <w:rtl/>
        </w:rPr>
        <w:t xml:space="preserve">كل تجديد لهذا العقد يكون محل ملحق كتابي، يُوقع قبل حلول الأجل، ويُذكّر بحالة اللجوء من المادة 12 من القانون 90-11 التي يندرج فيها، ويذكر سبب المدة الجديدة المقررة.</w:t>
      </w:r>
    </w:p>
    <w:p>
      <w:pPr>
        <w:bidi/>
        <w:spacing w:before="0" w:after="100"/>
      </w:pPr>
      <w:r>
        <w:rPr>
          <w:rFonts w:ascii="Arial" w:hAnsi="Arial" w:cs="Arial"/>
          <w:i/>
          <w:iCs/>
          <w:sz w:val="16"/>
          <w:szCs w:val="16"/>
          <w:color w:val="5A6B7C"/>
          <w:lang w:bidi="ar-DZ"/>
          <w:rtl/>
        </w:rPr>
        <w:t xml:space="preserve">لا يُحدد أي من النصوص المقروءة عدداً أقصى للتجديدات ولا مدة إجمالية قصوى ولا أجل انتظار. والرقابة المنصوص عليها في المادة 12 مكرر تتناول التطابق بين المدة المنصوص عليها والنشاط الذي وُظف من أجله العامل. والتجديد الذي يتجاوز المدة الفعلية لهذا النشاط يخرج من حالة اللجوء ويقع تحت المادة 14.</w:t>
      </w:r>
    </w:p>
    <w:p>
      <w:pPr>
        <w:bidi/>
        <w:spacing w:before="260" w:after="120"/>
      </w:pPr>
      <w:r>
        <w:rPr>
          <w:rFonts w:ascii="Arial" w:hAnsi="Arial" w:cs="Arial"/>
          <w:b/>
          <w:bCs/>
          <w:sz w:val="26"/>
          <w:szCs w:val="26"/>
          <w:color w:val="1E4E79"/>
          <w:lang w:bidi="ar-DZ"/>
          <w:rtl/>
        </w:rPr>
        <w:t xml:space="preserve">المادة 11: انتهاء العقد</w:t>
      </w:r>
    </w:p>
    <w:p>
      <w:pPr>
        <w:bidi/>
        <w:spacing w:before="0" w:after="120"/>
      </w:pPr>
      <w:r>
        <w:rPr>
          <w:rFonts w:ascii="Arial" w:hAnsi="Arial" w:cs="Arial"/>
          <w:lang w:bidi="ar-DZ"/>
          <w:rtl/>
        </w:rPr>
        <w:t xml:space="preserve">ينتهي العقد بحلول أجله دون أي إجراء آخر. ويُسلم للعامل عند انتهاء علاقة العمل شهادة عمل تُبين تاريخ التوظيف وتاريخ انتهاء علاقة العمل وكذا المناصب التي شُغلت والفترات المناسبة لها.</w:t>
      </w:r>
    </w:p>
    <w:p>
      <w:pPr>
        <w:bidi/>
        <w:spacing w:before="0" w:after="100"/>
      </w:pPr>
      <w:r>
        <w:rPr>
          <w:rFonts w:ascii="Arial" w:hAnsi="Arial" w:cs="Arial"/>
          <w:i/>
          <w:iCs/>
          <w:sz w:val="16"/>
          <w:szCs w:val="16"/>
          <w:color w:val="5A6B7C"/>
          <w:lang w:bidi="ar-DZ"/>
          <w:rtl/>
        </w:rPr>
        <w:t xml:space="preserve">السند القانوني: المادتان 66 و67 من القانون 90-11. والتعويض عن التسريح المنصوص عليه في المادة 72 مخصص صراحةً للعامل الموظف لمدة غير محدودة: ولا يُنشئ أي من النصوص المقروءة تعويضاً عن نهاية عقد محدود المدة.</w:t>
      </w:r>
    </w:p>
    <w:p>
      <w:pPr>
        <w:bidi/>
        <w:spacing w:before="260" w:after="120"/>
      </w:pPr>
      <w:r>
        <w:rPr>
          <w:rFonts w:ascii="Arial" w:hAnsi="Arial" w:cs="Arial"/>
          <w:b/>
          <w:bCs/>
          <w:sz w:val="26"/>
          <w:szCs w:val="26"/>
          <w:color w:val="1E4E79"/>
          <w:lang w:bidi="ar-DZ"/>
          <w:rtl/>
        </w:rPr>
        <w:t xml:space="preserve">المادة 12: أحكام عامة</w:t>
      </w:r>
    </w:p>
    <w:p>
      <w:pPr>
        <w:bidi/>
        <w:spacing w:before="0" w:after="120"/>
      </w:pPr>
      <w:r>
        <w:rPr>
          <w:rFonts w:ascii="Arial" w:hAnsi="Arial" w:cs="Arial"/>
          <w:lang w:bidi="ar-DZ"/>
          <w:rtl/>
        </w:rPr>
        <w:t xml:space="preserve">في كل ما لم يُنص عليه في هذا العقد، يرجع الطرفان إلى القانون رقم 90-11 المؤرخ في 21 أبريل سنة 1990، المعدل والمتمم، وإلى الاتفاقية الجماعية المطبقة وإلى النظام الداخلي للمؤسسة. وكل حكم أنفع للعامل يسري بقوة القانون.</w:t>
      </w:r>
    </w:p>
    <w:p>
      <w:pPr>
        <w:bidi/>
        <w:spacing w:before="0" w:after="100"/>
      </w:pPr>
      <w:r>
        <w:rPr>
          <w:rFonts w:ascii="Arial" w:hAnsi="Arial" w:cs="Arial"/>
          <w:i/>
          <w:iCs/>
          <w:sz w:val="16"/>
          <w:szCs w:val="16"/>
          <w:color w:val="5A6B7C"/>
          <w:lang w:bidi="ar-DZ"/>
          <w:rtl/>
        </w:rPr>
        <w:t xml:space="preserve">السند القانوني: المادة 62 من القانون 90-11. وتذكير بالمادة 146 مكرر، المضافة بالأمر 96-21: تُعاقب كل مخالفة للأحكام المتعلقة باللجوء إلى العقد محدود المدة خارج الحالات والشروط المنصوص عليها صراحةً في المادتين 12 و12 مكرر بغرامة من 1000 إلى 2000 دج تُطبق بقدر ما يوجد من مخالفات، وهي المبالغ كما طُبعت في أمر سنة 1996.</w:t>
      </w:r>
    </w:p>
    <w:p>
      <w:pPr>
        <w:bidi/>
        <w:spacing w:before="0" w:after="60"/>
      </w:pPr>
    </w:p>
    <w:p>
      <w:pPr>
        <w:bidi/>
        <w:spacing w:before="0" w:after="120"/>
      </w:pPr>
      <w:r>
        <w:rPr>
          <w:rFonts w:ascii="Arial" w:hAnsi="Arial" w:cs="Arial"/>
          <w:lang w:bidi="ar-DZ"/>
          <w:rtl/>
        </w:rPr>
        <w:t xml:space="preserve">حُرر بـ </w:t>
      </w:r>
      <w:r>
        <w:rPr>
          <w:rFonts w:ascii="Arial" w:hAnsi="Arial" w:cs="Arial"/>
          <w:b/>
          <w:bCs/>
          <w:highlight w:val="yellow"/>
          <w:lang w:bidi="ar-DZ"/>
          <w:rtl/>
        </w:rPr>
        <w:t xml:space="preserve">[المدينة]</w:t>
      </w:r>
      <w:r>
        <w:rPr>
          <w:rFonts w:ascii="Arial" w:hAnsi="Arial" w:cs="Arial"/>
          <w:lang w:bidi="ar-DZ"/>
          <w:rtl/>
        </w:rPr>
        <w:t xml:space="preserve">، في </w:t>
      </w:r>
      <w:r>
        <w:rPr>
          <w:rFonts w:ascii="Arial" w:hAnsi="Arial" w:cs="Arial"/>
          <w:b/>
          <w:bCs/>
          <w:highlight w:val="yellow"/>
          <w:lang w:bidi="ar-DZ"/>
          <w:rtl/>
        </w:rPr>
        <w:t xml:space="preserve">[التاريخ]</w:t>
      </w:r>
      <w:r>
        <w:rPr>
          <w:rFonts w:ascii="Arial" w:hAnsi="Arial" w:cs="Arial"/>
          <w:lang w:bidi="ar-DZ"/>
          <w:rtl/>
        </w:rPr>
        <w:t xml:space="preserve">، في </w:t>
      </w:r>
      <w:r>
        <w:rPr>
          <w:rFonts w:ascii="Arial" w:hAnsi="Arial" w:cs="Arial"/>
          <w:b/>
          <w:bCs/>
          <w:highlight w:val="yellow"/>
          <w:lang w:bidi="ar-DZ"/>
          <w:rtl/>
        </w:rPr>
        <w:t xml:space="preserve">[عدد النسخ]</w:t>
      </w:r>
      <w:r>
        <w:rPr>
          <w:rFonts w:ascii="Arial" w:hAnsi="Arial" w:cs="Arial"/>
          <w:lang w:bidi="ar-DZ"/>
          <w:rtl/>
        </w:rPr>
        <w:t xml:space="preserve"> نسخ أصلية.</w:t>
      </w:r>
    </w:p>
    <w:p>
      <w:pPr>
        <w:bidi/>
        <w:jc w:val="center"/>
        <w:spacing w:before="320" w:after="480"/>
      </w:pPr>
      <w:r>
        <w:rPr>
          <w:rFonts w:ascii="Arial" w:hAnsi="Arial" w:cs="Arial"/>
          <w:b/>
          <w:bCs/>
          <w:lang w:bidi="ar-DZ"/>
          <w:rtl/>
        </w:rPr>
        <w:t xml:space="preserve">المستخدم</w:t>
      </w:r>
      <w:r>
        <w:rPr>
          <w:rFonts w:ascii="Arial" w:hAnsi="Arial" w:cs="Arial"/>
          <w:lang w:bidi="ar-DZ"/>
          <w:rtl/>
        </w:rPr>
        <w:t xml:space="preserve">      </w:t>
      </w:r>
      <w:r>
        <w:rPr>
          <w:rFonts w:ascii="Arial" w:hAnsi="Arial" w:cs="Arial"/>
          <w:b/>
          <w:bCs/>
          <w:lang w:bidi="ar-DZ"/>
          <w:rtl/>
        </w:rPr>
        <w:t xml:space="preserve">العامل</w:t>
      </w:r>
    </w:p>
    <w:p>
      <w:r>
        <w:br w:type="page"/>
      </w:r>
    </w:p>
    <w:p>
      <w:pPr>
        <w:bidi/>
        <w:spacing w:before="260" w:after="120"/>
      </w:pPr>
      <w:r>
        <w:rPr>
          <w:rFonts w:ascii="Arial" w:hAnsi="Arial" w:cs="Arial"/>
          <w:b/>
          <w:bCs/>
          <w:sz w:val="26"/>
          <w:szCs w:val="26"/>
          <w:color w:val="1E4E79"/>
          <w:lang w:bidi="ar-DZ"/>
          <w:rtl/>
        </w:rPr>
        <w:t xml:space="preserve">ملحق التجديد</w:t>
      </w:r>
    </w:p>
    <w:p>
      <w:pPr>
        <w:bidi/>
        <w:spacing w:before="0" w:after="120"/>
      </w:pPr>
      <w:r>
        <w:rPr>
          <w:rFonts w:ascii="Arial" w:hAnsi="Arial" w:cs="Arial"/>
          <w:lang w:bidi="ar-DZ"/>
          <w:rtl/>
        </w:rPr>
        <w:t xml:space="preserve">بين </w:t>
      </w:r>
      <w:r>
        <w:rPr>
          <w:rFonts w:ascii="Arial" w:hAnsi="Arial" w:cs="Arial"/>
          <w:b/>
          <w:bCs/>
          <w:highlight w:val="yellow"/>
          <w:lang w:bidi="ar-DZ"/>
          <w:rtl/>
        </w:rPr>
        <w:t xml:space="preserve">[التسمية الاجتماعية]</w:t>
      </w:r>
      <w:r>
        <w:rPr>
          <w:rFonts w:ascii="Arial" w:hAnsi="Arial" w:cs="Arial"/>
          <w:lang w:bidi="ar-DZ"/>
          <w:rtl/>
        </w:rPr>
        <w:t xml:space="preserve">، ويمثلها </w:t>
      </w:r>
      <w:r>
        <w:rPr>
          <w:rFonts w:ascii="Arial" w:hAnsi="Arial" w:cs="Arial"/>
          <w:b/>
          <w:bCs/>
          <w:highlight w:val="yellow"/>
          <w:lang w:bidi="ar-DZ"/>
          <w:rtl/>
        </w:rPr>
        <w:t xml:space="preserve">[الاسم واللقب للممثل القانوني]</w:t>
      </w:r>
      <w:r>
        <w:rPr>
          <w:rFonts w:ascii="Arial" w:hAnsi="Arial" w:cs="Arial"/>
          <w:lang w:bidi="ar-DZ"/>
          <w:rtl/>
        </w:rPr>
        <w:t xml:space="preserve">، وبين </w:t>
      </w:r>
      <w:r>
        <w:rPr>
          <w:rFonts w:ascii="Arial" w:hAnsi="Arial" w:cs="Arial"/>
          <w:b/>
          <w:bCs/>
          <w:highlight w:val="yellow"/>
          <w:lang w:bidi="ar-DZ"/>
          <w:rtl/>
        </w:rPr>
        <w:t xml:space="preserve">[الاسم واللقب للعامل]</w:t>
      </w:r>
      <w:r>
        <w:rPr>
          <w:rFonts w:ascii="Arial" w:hAnsi="Arial" w:cs="Arial"/>
          <w:lang w:bidi="ar-DZ"/>
          <w:rtl/>
        </w:rPr>
        <w:t xml:space="preserve">، تم الاتفاق على ما يأتي.</w:t>
      </w:r>
    </w:p>
    <w:p>
      <w:pPr>
        <w:bidi/>
        <w:spacing w:before="0" w:after="120"/>
      </w:pPr>
      <w:r>
        <w:rPr>
          <w:rFonts w:ascii="Arial" w:hAnsi="Arial" w:cs="Arial"/>
          <w:lang w:bidi="ar-DZ"/>
          <w:rtl/>
        </w:rPr>
        <w:t xml:space="preserve">يُجدد عقد العمل محدود المدة المبرم في </w:t>
      </w:r>
      <w:r>
        <w:rPr>
          <w:rFonts w:ascii="Arial" w:hAnsi="Arial" w:cs="Arial"/>
          <w:b/>
          <w:bCs/>
          <w:highlight w:val="yellow"/>
          <w:lang w:bidi="ar-DZ"/>
          <w:rtl/>
        </w:rPr>
        <w:t xml:space="preserve">[تاريخ العقد الأصلي]</w:t>
      </w:r>
      <w:r>
        <w:rPr>
          <w:rFonts w:ascii="Arial" w:hAnsi="Arial" w:cs="Arial"/>
          <w:lang w:bidi="ar-DZ"/>
          <w:rtl/>
        </w:rPr>
        <w:t xml:space="preserve"> من </w:t>
      </w:r>
      <w:r>
        <w:rPr>
          <w:rFonts w:ascii="Arial" w:hAnsi="Arial" w:cs="Arial"/>
          <w:b/>
          <w:bCs/>
          <w:highlight w:val="yellow"/>
          <w:lang w:bidi="ar-DZ"/>
          <w:rtl/>
        </w:rPr>
        <w:t xml:space="preserve">[تاريخ بداية التجديد]</w:t>
      </w:r>
      <w:r>
        <w:rPr>
          <w:rFonts w:ascii="Arial" w:hAnsi="Arial" w:cs="Arial"/>
          <w:lang w:bidi="ar-DZ"/>
          <w:rtl/>
        </w:rPr>
        <w:t xml:space="preserve"> إلى </w:t>
      </w:r>
      <w:r>
        <w:rPr>
          <w:rFonts w:ascii="Arial" w:hAnsi="Arial" w:cs="Arial"/>
          <w:b/>
          <w:bCs/>
          <w:highlight w:val="yellow"/>
          <w:lang w:bidi="ar-DZ"/>
          <w:rtl/>
        </w:rPr>
        <w:t xml:space="preserve">[تاريخ نهاية التجديد]</w:t>
      </w:r>
      <w:r>
        <w:rPr>
          <w:rFonts w:ascii="Arial" w:hAnsi="Arial" w:cs="Arial"/>
          <w:lang w:bidi="ar-DZ"/>
          <w:rtl/>
        </w:rPr>
        <w:t xml:space="preserve">.</w:t>
      </w:r>
    </w:p>
    <w:p>
      <w:pPr>
        <w:bidi/>
        <w:spacing w:before="0" w:after="120"/>
      </w:pPr>
      <w:r>
        <w:rPr>
          <w:rFonts w:ascii="Arial" w:hAnsi="Arial" w:cs="Arial"/>
          <w:lang w:bidi="ar-DZ"/>
          <w:rtl/>
        </w:rPr>
        <w:t xml:space="preserve">وتبقى حالة اللجوء هي حالة </w:t>
      </w:r>
      <w:r>
        <w:rPr>
          <w:rFonts w:ascii="Arial" w:hAnsi="Arial" w:cs="Arial"/>
          <w:b/>
          <w:bCs/>
          <w:highlight w:val="yellow"/>
          <w:lang w:bidi="ar-DZ"/>
          <w:rtl/>
        </w:rPr>
        <w:t xml:space="preserve">[رقم حالة اللجوء المعتمدة]</w:t>
      </w:r>
      <w:r>
        <w:rPr>
          <w:rFonts w:ascii="Arial" w:hAnsi="Arial" w:cs="Arial"/>
          <w:lang w:bidi="ar-DZ"/>
          <w:rtl/>
        </w:rPr>
        <w:t xml:space="preserve"> من المادة 12 من القانون 90-11.</w:t>
      </w:r>
    </w:p>
    <w:p>
      <w:pPr>
        <w:bidi/>
        <w:spacing w:before="0" w:after="120"/>
      </w:pPr>
      <w:r>
        <w:rPr>
          <w:rFonts w:ascii="Arial" w:hAnsi="Arial" w:cs="Arial"/>
          <w:lang w:bidi="ar-DZ"/>
          <w:rtl/>
        </w:rPr>
        <w:t xml:space="preserve">وسبب المدة الجديدة المقررة هو: </w:t>
      </w:r>
      <w:r>
        <w:rPr>
          <w:rFonts w:ascii="Arial" w:hAnsi="Arial" w:cs="Arial"/>
          <w:b/>
          <w:bCs/>
          <w:highlight w:val="yellow"/>
          <w:lang w:bidi="ar-DZ"/>
          <w:rtl/>
        </w:rPr>
        <w:t xml:space="preserve">[سبب المدة الجديدة]</w:t>
      </w:r>
      <w:r>
        <w:rPr>
          <w:rFonts w:ascii="Arial" w:hAnsi="Arial" w:cs="Arial"/>
          <w:lang w:bidi="ar-DZ"/>
          <w:rtl/>
        </w:rPr>
        <w:t xml:space="preserve">.</w:t>
      </w:r>
    </w:p>
    <w:p>
      <w:pPr>
        <w:bidi/>
        <w:spacing w:before="0" w:after="120"/>
      </w:pPr>
      <w:r>
        <w:rPr>
          <w:rFonts w:ascii="Arial" w:hAnsi="Arial" w:cs="Arial"/>
          <w:lang w:bidi="ar-DZ"/>
          <w:rtl/>
        </w:rPr>
        <w:t xml:space="preserve">وتبقى جميع البنود الأخرى من العقد الأصلي دون تغيير.</w:t>
      </w:r>
    </w:p>
    <w:p>
      <w:pPr>
        <w:bidi/>
        <w:spacing w:before="0" w:after="60"/>
      </w:pPr>
    </w:p>
    <w:p>
      <w:pPr>
        <w:bidi/>
        <w:spacing w:before="0" w:after="120"/>
      </w:pPr>
      <w:r>
        <w:rPr>
          <w:rFonts w:ascii="Arial" w:hAnsi="Arial" w:cs="Arial"/>
          <w:lang w:bidi="ar-DZ"/>
          <w:rtl/>
        </w:rPr>
        <w:t xml:space="preserve">حُرر بـ </w:t>
      </w:r>
      <w:r>
        <w:rPr>
          <w:rFonts w:ascii="Arial" w:hAnsi="Arial" w:cs="Arial"/>
          <w:b/>
          <w:bCs/>
          <w:highlight w:val="yellow"/>
          <w:lang w:bidi="ar-DZ"/>
          <w:rtl/>
        </w:rPr>
        <w:t xml:space="preserve">[المدينة]</w:t>
      </w:r>
      <w:r>
        <w:rPr>
          <w:rFonts w:ascii="Arial" w:hAnsi="Arial" w:cs="Arial"/>
          <w:lang w:bidi="ar-DZ"/>
          <w:rtl/>
        </w:rPr>
        <w:t xml:space="preserve">، في </w:t>
      </w:r>
      <w:r>
        <w:rPr>
          <w:rFonts w:ascii="Arial" w:hAnsi="Arial" w:cs="Arial"/>
          <w:b/>
          <w:bCs/>
          <w:highlight w:val="yellow"/>
          <w:lang w:bidi="ar-DZ"/>
          <w:rtl/>
        </w:rPr>
        <w:t xml:space="preserve">[التاريخ]</w:t>
      </w:r>
      <w:r>
        <w:rPr>
          <w:rFonts w:ascii="Arial" w:hAnsi="Arial" w:cs="Arial"/>
          <w:lang w:bidi="ar-DZ"/>
          <w:rtl/>
        </w:rPr>
        <w:t xml:space="preserve">، في </w:t>
      </w:r>
      <w:r>
        <w:rPr>
          <w:rFonts w:ascii="Arial" w:hAnsi="Arial" w:cs="Arial"/>
          <w:b/>
          <w:bCs/>
          <w:highlight w:val="yellow"/>
          <w:lang w:bidi="ar-DZ"/>
          <w:rtl/>
        </w:rPr>
        <w:t xml:space="preserve">[عدد النسخ]</w:t>
      </w:r>
      <w:r>
        <w:rPr>
          <w:rFonts w:ascii="Arial" w:hAnsi="Arial" w:cs="Arial"/>
          <w:lang w:bidi="ar-DZ"/>
          <w:rtl/>
        </w:rPr>
        <w:t xml:space="preserve"> نسخ أصلية.</w:t>
      </w:r>
    </w:p>
    <w:p>
      <w:pPr>
        <w:bidi/>
        <w:jc w:val="center"/>
        <w:spacing w:before="320" w:after="480"/>
      </w:pPr>
      <w:r>
        <w:rPr>
          <w:rFonts w:ascii="Arial" w:hAnsi="Arial" w:cs="Arial"/>
          <w:b/>
          <w:bCs/>
          <w:lang w:bidi="ar-DZ"/>
          <w:rtl/>
        </w:rPr>
        <w:t xml:space="preserve">المستخدم</w:t>
      </w:r>
      <w:r>
        <w:rPr>
          <w:rFonts w:ascii="Arial" w:hAnsi="Arial" w:cs="Arial"/>
          <w:lang w:bidi="ar-DZ"/>
          <w:rtl/>
        </w:rPr>
        <w:t xml:space="preserve">      </w:t>
      </w:r>
      <w:r>
        <w:rPr>
          <w:rFonts w:ascii="Arial" w:hAnsi="Arial" w:cs="Arial"/>
          <w:b/>
          <w:bCs/>
          <w:lang w:bidi="ar-DZ"/>
          <w:rtl/>
        </w:rPr>
        <w:t xml:space="preserve">العامل</w:t>
      </w:r>
    </w:p>
    <w:p>
      <w:r>
        <w:br w:type="page"/>
      </w:r>
    </w:p>
    <w:p>
      <w:pPr>
        <w:bidi/>
        <w:spacing w:before="260" w:after="120"/>
      </w:pPr>
      <w:r>
        <w:rPr>
          <w:rFonts w:ascii="Arial" w:hAnsi="Arial" w:cs="Arial"/>
          <w:b/>
          <w:bCs/>
          <w:sz w:val="26"/>
          <w:szCs w:val="26"/>
          <w:color w:val="1E4E79"/>
          <w:lang w:bidi="ar-DZ"/>
          <w:rtl/>
        </w:rPr>
        <w:t xml:space="preserve">المراجع القانونية المذكورة في هذا النموذج</w:t>
      </w:r>
    </w:p>
    <w:p>
      <w:pPr>
        <w:bidi/>
        <w:numPr>
          <w:ilvl w:val="0"/>
          <w:numId w:val="1"/>
        </w:numPr>
        <w:spacing w:before="0" w:after="60"/>
      </w:pPr>
      <w:r>
        <w:rPr>
          <w:rFonts w:ascii="Arial" w:hAnsi="Arial" w:cs="Arial"/>
          <w:lang w:bidi="ar-DZ"/>
          <w:rtl/>
        </w:rPr>
        <w:t xml:space="preserve">القانون رقم 90-11 المؤرخ في 21 أبريل سنة 1990 المتعلق بعلاقات العمل، الجريدة الرسمية عدد 17 المؤرخة في 25 أبريل سنة 1990.</w:t>
      </w:r>
    </w:p>
    <w:p>
      <w:pPr>
        <w:bidi/>
        <w:numPr>
          <w:ilvl w:val="0"/>
          <w:numId w:val="1"/>
        </w:numPr>
        <w:spacing w:before="0" w:after="60"/>
      </w:pPr>
      <w:r>
        <w:rPr>
          <w:rFonts w:ascii="Arial" w:hAnsi="Arial" w:cs="Arial"/>
          <w:lang w:bidi="ar-DZ"/>
          <w:rtl/>
        </w:rPr>
        <w:t xml:space="preserve">الأمر رقم 96-21 المؤرخ في 9 يوليو سنة 1996 المعدل والمتمم للقانون 90-11، الجريدة الرسمية عدد 43 المؤرخة في 10 يوليو سنة 1996.</w:t>
      </w:r>
    </w:p>
    <w:p>
      <w:pPr>
        <w:bidi/>
        <w:numPr>
          <w:ilvl w:val="0"/>
          <w:numId w:val="1"/>
        </w:numPr>
        <w:spacing w:before="0" w:after="60"/>
      </w:pPr>
      <w:r>
        <w:rPr>
          <w:rFonts w:ascii="Arial" w:hAnsi="Arial" w:cs="Arial"/>
          <w:lang w:bidi="ar-DZ"/>
          <w:rtl/>
        </w:rPr>
        <w:t xml:space="preserve">الأمر رقم 97-03 المؤرخ في 11 يناير سنة 1997 الذي يحدد المدة القانونية للعمل، الجريدة الرسمية عدد 3 المؤرخة في 12 يناير سنة 1997.</w:t>
      </w:r>
    </w:p>
    <w:p>
      <w:pPr>
        <w:bidi/>
        <w:numPr>
          <w:ilvl w:val="0"/>
          <w:numId w:val="1"/>
        </w:numPr>
        <w:spacing w:before="0" w:after="60"/>
      </w:pPr>
      <w:r>
        <w:rPr>
          <w:rFonts w:ascii="Arial" w:hAnsi="Arial" w:cs="Arial"/>
          <w:lang w:bidi="ar-DZ"/>
          <w:rtl/>
        </w:rPr>
        <w:t xml:space="preserve">المرسوم الرئاسي رقم 26-01 المؤرخ في 7 يناير سنة 2026 الذي يحدد الأجر الوطني الأدنى المضمون، الجريدة الرسمية عدد 01 المؤرخة في 8 يناير سنة 2026.</w:t>
      </w:r>
    </w:p>
    <w:p>
      <w:pPr>
        <w:bidi/>
        <w:spacing w:before="0" w:after="100"/>
      </w:pPr>
      <w:r>
        <w:rPr>
          <w:rFonts w:ascii="Arial" w:hAnsi="Arial" w:cs="Arial"/>
          <w:i/>
          <w:iCs/>
          <w:sz w:val="16"/>
          <w:szCs w:val="16"/>
          <w:color w:val="5A6B7C"/>
          <w:lang w:bidi="ar-DZ"/>
          <w:rtl/>
        </w:rPr>
        <w:t xml:space="preserve">قُرئ كل نص من هذه النصوص على الصورة المرقمنة لصفحة الجريدة الرسمية. وتفصيل سلسلة التعديلات منشور على upgrowth.dz/ar/modele-contrat-travail-cdd-algerie.</w:t>
      </w:r>
    </w:p>
    <w:sectPr>
      <w:bidi/>
      <w:footerReference w:type="default" r:id="rId3"/>
      <w:pgSz w:w="11906" w:h="16838"/>
      <w:pgMar w:top="1418" w:right="1418" w:bottom="1418" w:left="1418" w:header="709" w:footer="709" w:gutter="0"/>
    </w:sectPr>
  </w:body>
</w:document>
</file>

<file path=word/footer1.xml><?xml version="1.0" encoding="utf-8"?>
<w:ftr xmlns:w="http://schemas.openxmlformats.org/wordprocessingml/2006/main">
  <w:p>
    <w:pPr>
      <w:pStyle w:val="Footer"/>
      <w:bidi/>
    </w:pPr>
    <w:r>
      <w:rPr>
        <w:sz w:val="15"/>
        <w:color w:val="5A6B7C"/>
        <w:rFonts w:ascii="Arial" w:hAnsi="Arial" w:cs="Arial"/>
        <w:rtl/>
      </w:rPr>
      <w:t xml:space="preserve">نموذج إعلامي مجاني من UpGrowth (upgrowth.dz). لا يُشكل استشارة قانونية. يُقرأ مع الاتفاقية الجماعية للفرع ومع النظام الداخلي للمؤسسة.</w:t>
    </w:r>
  </w:p>
</w:ftr>
</file>

<file path=word/numbering.xml><?xml version="1.0" encoding="utf-8"?>
<w:numbering xmlns:w="http://schemas.openxmlformats.org/wordprocessingml/2006/main">
  <w:abstractNum w:abstractNumId="0">
    <w:multiLevelType w:val="hybridMultilevel"/>
    <w:lvl w:ilvl="0">
      <w:start w:val="1"/>
      <w:numFmt w:val="bullet"/>
      <w:lvlText w:val=""/>
      <w:lvlJc w:val="right"/>
      <w:pPr>
        <w:bidi/>
        <w:ind w:right="720" w:hanging="360"/>
      </w:pPr>
      <w:rPr>
        <w:rFonts w:ascii="Symbol" w:hAnsi="Symbol" w:hint="default"/>
      </w:rPr>
    </w:lvl>
  </w:abstractNum>
  <w:abstractNum w:abstractNumId="1">
    <w:multiLevelType w:val="hybridMultilevel"/>
    <w:lvl w:ilvl="0">
      <w:start w:val="1"/>
      <w:numFmt w:val="decimal"/>
      <w:lvlText w:val="%1."/>
      <w:lvlJc w:val="right"/>
      <w:pPr>
        <w:bidi/>
        <w:ind w:right="720" w:hanging="360"/>
      </w:pPr>
    </w:lvl>
  </w:abstractNum>
  <w:num w:numId="1">
    <w:abstractNumId w:val="0"/>
  </w:num>
  <w:num w:numId="2">
    <w:abstractNumId w:val="1"/>
  </w:num>
</w:numbering>
</file>

<file path=word/styles.xml><?xml version="1.0" encoding="utf-8"?>
<w:styles xmlns:w="http://schemas.openxmlformats.org/wordprocessingml/2006/main">
  <w:docDefaults>
    <w:rPrDefault>
      <w:rPr>
        <w:rFonts w:ascii="Arial" w:hAnsi="Arial" w:cs="Arial"/>
        <w:sz w:val="22"/>
        <w:szCs w:val="22"/>
        <w:lang w:val="fr-FR" w:bidi="ar-DZ"/>
        <w:rtl/>
      </w:rPr>
    </w:rPrDefault>
    <w:pPrDefault>
      <w:pPr>
        <w:bidi/>
        <w:spacing w:after="120" w:line="276" w:lineRule="auto"/>
        <w:jc w:val="both"/>
      </w:pPr>
    </w:pPrDefault>
  </w:docDefaults>
  <w:style w:type="paragraph" w:default="1" w:styleId="Normal">
    <w:name w:val="Normal"/>
    <w:qFormat/>
  </w:style>
  <w:style w:type="paragraph" w:styleId="Footer">
    <w:name w:val="footer"/>
    <w:pPr>
      <w:bidi/>
      <w:jc w:val="center"/>
      <w:spacing w:after="0"/>
    </w:pPr>
    <w:rPr>
      <w:sz w:val="15"/>
      <w:szCs w:val="15"/>
      <w:color w:val="5A6B7C"/>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footer" Target="footer1.xml"/>
</Relationships>
</file>

<file path=docProps/app.xml><?xml version="1.0" encoding="utf-8"?>
<Properties xmlns="http://schemas.openxmlformats.org/officeDocument/2006/extended-properties" xmlns:vt="http://schemas.openxmlformats.org/officeDocument/2006/docPropsVTypes">
  <Application>UpGrowth Template Generator</Application>
  <Company>UpGrowth</Company>
</Properties>
</file>

<file path=docProps/core.xml><?xml version="1.0" encoding="utf-8"?>
<cp:coreProperties xmlns:cp="http://schemas.openxmlformats.org/package/2006/metadata/core-properties" xmlns:dc="http://purl.org/dc/elements/1.1/" xmlns:dcterms="http://purl.org/dc/terms/" xmlns:xsi="http://www.w3.org/2001/XMLSchema-instance">
  <dc:title>عقد عمل محدود المدة، القانون الجزائري</dc:title>
  <dc:subject>نموذج إعلامي لعقد عمل محدود المدة مطابق للمادتين 12 و12 مكرر من القانون 90-11، مع حالة اللجوء وسبب المدة المقررة.</dc:subject>
  <dc:creator>UpGrowth (upgrowth.dz)</dc:creator>
  <cp:keywords>عقد عمل، محدود المدة، المادة 12، القانون 90-11، الجزائر، نموذج</cp:keywords>
  <cp:lastModifiedBy>UpGrowth</cp:lastModifiedBy>
  <dcterms:created xsi:type="dcterms:W3CDTF">2026-07-30T00:00:00Z</dcterms:created>
  <dcterms:modified xsi:type="dcterms:W3CDTF">2026-07-30T00:00:00Z</dcterms:modified>
  <dc:language>ar-DZ</dc:language>
</cp:coreProperties>
</file>