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jc w:val="center"/>
        <w:spacing w:before="0" w:after="160"/>
      </w:pPr>
      <w:r>
        <w:rPr>
          <w:b/>
          <w:sz w:val="36"/>
          <w:szCs w:val="36"/>
          <w:color w:val="0B2E4F"/>
        </w:rPr>
        <w:t xml:space="preserve">PROJET DE BAIL COMMERCIAL</w:t>
      </w:r>
    </w:p>
    <w:p>
      <w:pPr>
        <w:jc w:val="center"/>
        <w:spacing w:before="0" w:after="240"/>
      </w:pPr>
      <w:r>
        <w:rPr>
          <w:i/>
          <w:sz w:val="22"/>
          <w:szCs w:val="22"/>
          <w:color w:val="44607A"/>
        </w:rPr>
        <w:t xml:space="preserve">Document de travail à remettre au notaire, droit algérien, code de commerce, articles 169, 170, 187 bis, 187 ter et 192 dans leur rédaction issue de la loi n° 05-02 du 6 février 2005</w:t>
      </w:r>
    </w:p>
    <w:p>
      <w:pPr>
        <w:spacing w:before="160" w:after="160"/>
        <w:pBdr>
          <w:top w:val="single" w:sz="6" w:space="6" w:color="1E4E79"/>
          <w:left w:val="single" w:sz="6" w:space="6" w:color="1E4E79"/>
          <w:bottom w:val="single" w:sz="6" w:space="6" w:color="1E4E79"/>
          <w:right w:val="single" w:sz="6" w:space="6" w:color="1E4E79"/>
        </w:pBdr>
        <w:shd w:val="clear" w:color="auto" w:fill="EAF1F8"/>
      </w:pPr>
      <w:r>
        <w:rPr>
          <w:b/>
          <w:color w:val="0B2E4F"/>
        </w:rPr>
        <w:t xml:space="preserve">CE DOCUMENT N'EST PAS UN BAIL ET NE LE DEVIENDRA PAS PAR SIGNATURE. L'article 187 bis du code de commerce impose que les baux commerciaux conclus depuis la publication de la loi 05-02 au Journal officiel n° 11 du 9 février 2005 soient dressés en la forme authentique, sous peine de nullité. Un bail commercial signé entre le bailleur et le preneur, sans acte notarié, est nul. Remplissez ce projet, relisez le, puis emportez le chez le notaire : votre négociation sera faite quand l'acte se rédigera.</w:t>
      </w:r>
    </w:p>
    <w:p>
      <w:pPr>
        <w:spacing w:before="260" w:after="120"/>
      </w:pPr>
      <w:r>
        <w:rPr>
          <w:b/>
          <w:sz w:val="26"/>
          <w:szCs w:val="26"/>
          <w:color w:val="1E4E79"/>
        </w:rPr>
        <w:t xml:space="preserve">Vérifiez d'abord que vous êtes bien dans ce régime</w:t>
      </w:r>
    </w:p>
    <w:p>
      <w:pPr>
        <w:spacing w:before="0" w:after="120"/>
      </w:pPr>
      <w:r>
        <w:t xml:space="preserve">L'article 169 du code de commerce, dans sa rédaction issue de la loi 05-02, applique ces règles aux baux des immeubles ou locaux dans lesquels un fonds est exploité, que ce fonds appartienne à un commerçant, à un industriel, à un artisan ou à une entreprise artisanale, dûment inscrits au registre du commerce ou au registre des métiers et de l'artisanat selon le cas.</w:t>
      </w:r>
    </w:p>
    <w:p>
      <w:pPr>
        <w:spacing w:before="0" w:after="120"/>
      </w:pPr>
      <w:r>
        <w:t xml:space="preserve">Deux conditions se cumulent donc : un fonds exploité dans les lieux, et une inscription régulière de son titulaire. Un local loué sans qu'aucun fonds n'y soit exploité n'entre pas dans ce cadre, et ce projet ne lui convient pas.</w:t>
      </w:r>
    </w:p>
    <w:p>
      <w:pPr>
        <w:spacing w:before="0" w:after="100"/>
      </w:pPr>
      <w:r>
        <w:rPr>
          <w:i/>
          <w:sz w:val="16"/>
          <w:szCs w:val="16"/>
          <w:color w:val="5A6B7C"/>
        </w:rPr>
        <w:t xml:space="preserve">L'article 170 étend les mêmes dispositions aux baux consentis aux communes pour des services exploités en régie, et aux baux nécessaires à la poursuite de l'activité des entreprises publiques économiques, à condition que ces baux ne comportent aucune emprise sur le domaine public.</w:t>
      </w:r>
    </w:p>
    <w:p>
      <w:pPr>
        <w:spacing w:before="260" w:after="120"/>
      </w:pPr>
      <w:r>
        <w:rPr>
          <w:b/>
          <w:sz w:val="26"/>
          <w:szCs w:val="26"/>
          <w:color w:val="1E4E79"/>
        </w:rPr>
        <w:t xml:space="preserve">Comment remplir</w:t>
      </w:r>
    </w:p>
    <w:p>
      <w:pPr>
        <w:numPr>
          <w:ilvl w:val="0"/>
          <w:numId w:val="1"/>
        </w:numPr>
        <w:spacing w:before="0" w:after="60"/>
      </w:pPr>
      <w:r>
        <w:t xml:space="preserve">Les crochets marquent ce qui vous appartient. Remplacez le contenu du crochet, y compris les crochets eux mêmes.</w:t>
      </w:r>
    </w:p>
    <w:p>
      <w:pPr>
        <w:numPr>
          <w:ilvl w:val="0"/>
          <w:numId w:val="1"/>
        </w:numPr>
        <w:spacing w:before="0" w:after="60"/>
      </w:pPr>
      <w:r>
        <w:t xml:space="preserve">Chaque clause porte, en petits caractères, l'article du code de commerce qui la fonde, ou la mention clause d'usage. Une clause d'usage n'est pas une invention : c'est une stipulation que les parties sont libres de convenir, simplement adossée à aucun article que nous ayons lu.</w:t>
      </w:r>
    </w:p>
    <w:p>
      <w:pPr>
        <w:numPr>
          <w:ilvl w:val="0"/>
          <w:numId w:val="1"/>
        </w:numPr>
        <w:spacing w:before="0" w:after="60"/>
      </w:pPr>
      <w:r>
        <w:t xml:space="preserve">L'article 4 est le point de négociation le plus lourd du contrat. Lisez le en entier avant de choisir, et ne le laissez pas vide par inadvertance : le silence a un effet, et cet effet est écrit dans la clause.</w:t>
      </w:r>
    </w:p>
    <w:p>
      <w:pPr>
        <w:numPr>
          <w:ilvl w:val="0"/>
          <w:numId w:val="1"/>
        </w:numPr>
        <w:spacing w:before="0" w:after="60"/>
      </w:pPr>
      <w:r>
        <w:t xml:space="preserve">Ne supprimez pas les mentions en petits caractères avant que le notaire ait relu. Ce sont elles qui permettent de séparer ce qui vient du texte de ce qui vient de vous.</w:t>
      </w:r>
    </w:p>
    <w:p>
      <w:r>
        <w:br w:type="page"/>
      </w:r>
    </w:p>
    <w:p>
      <w:pPr>
        <w:jc w:val="center"/>
        <w:spacing w:before="0" w:after="160"/>
      </w:pPr>
      <w:r>
        <w:rPr>
          <w:b/>
          <w:sz w:val="36"/>
          <w:szCs w:val="36"/>
          <w:color w:val="0B2E4F"/>
        </w:rPr>
        <w:t xml:space="preserve">PROJET DE BAIL COMMERCIAL</w:t>
      </w:r>
    </w:p>
    <w:p>
      <w:pPr>
        <w:spacing w:before="0" w:after="60"/>
      </w:pPr>
    </w:p>
    <w:p>
      <w:pPr>
        <w:spacing w:before="260" w:after="120"/>
      </w:pPr>
      <w:r>
        <w:rPr>
          <w:b/>
          <w:sz w:val="26"/>
          <w:szCs w:val="26"/>
          <w:color w:val="1E4E79"/>
        </w:rPr>
        <w:t xml:space="preserve">ENTRE LES SOUSSIGNÉS</w:t>
      </w:r>
    </w:p>
    <w:p>
      <w:pPr>
        <w:spacing w:before="180" w:after="100"/>
      </w:pPr>
      <w:r>
        <w:rPr>
          <w:b/>
          <w:sz w:val="22"/>
          <w:szCs w:val="22"/>
          <w:color w:val="1E4E79"/>
        </w:rPr>
        <w:t xml:space="preserve">Le bailleur</w:t>
      </w:r>
    </w:p>
    <w:p>
      <w:pPr>
        <w:spacing w:before="0" w:after="120"/>
      </w:pPr>
      <w:r>
        <w:rPr>
          <w:b/>
          <w:highlight w:val="yellow"/>
        </w:rPr>
        <w:t xml:space="preserve">[NOM ET PRÉNOM OU DÉNOMINATION SOCIALE DU BAILLEUR]</w:t>
      </w:r>
      <w:r>
        <w:t xml:space="preserve">, </w:t>
      </w:r>
      <w:r>
        <w:rPr>
          <w:b/>
          <w:highlight w:val="yellow"/>
        </w:rPr>
        <w:t xml:space="preserve">[QUALITÉ, PERSONNE PHYSIQUE OU FORME JURIDIQUE]</w:t>
      </w:r>
    </w:p>
    <w:p>
      <w:pPr>
        <w:spacing w:before="0" w:after="120"/>
      </w:pPr>
      <w:r>
        <w:t xml:space="preserve">Demeurant ou ayant son siège à : </w:t>
      </w:r>
      <w:r>
        <w:rPr>
          <w:b/>
          <w:highlight w:val="yellow"/>
        </w:rPr>
        <w:t xml:space="preserve">[ADRESSE COMPLÈTE DU BAILLEUR]</w:t>
      </w:r>
    </w:p>
    <w:p>
      <w:pPr>
        <w:spacing w:before="0" w:after="120"/>
      </w:pPr>
      <w:r>
        <w:t xml:space="preserve">Pièce d'identité ou registre du commerce n° : </w:t>
      </w:r>
      <w:r>
        <w:rPr>
          <w:b/>
          <w:highlight w:val="yellow"/>
        </w:rPr>
        <w:t xml:space="preserve">[RÉFÉRENCE]</w:t>
      </w:r>
    </w:p>
    <w:p>
      <w:pPr>
        <w:spacing w:before="0" w:after="120"/>
      </w:pPr>
      <w:r>
        <w:t xml:space="preserve">Titre de propriété : </w:t>
      </w:r>
      <w:r>
        <w:rPr>
          <w:b/>
          <w:highlight w:val="yellow"/>
        </w:rPr>
        <w:t xml:space="preserve">[NATURE ET RÉFÉRENCES DU TITRE DE PROPRIÉTÉ]</w:t>
      </w:r>
    </w:p>
    <w:p>
      <w:pPr>
        <w:spacing w:before="0" w:after="100"/>
      </w:pPr>
      <w:r>
        <w:rPr>
          <w:i/>
          <w:sz w:val="16"/>
          <w:szCs w:val="16"/>
          <w:color w:val="5A6B7C"/>
        </w:rPr>
        <w:t xml:space="preserve">Clause d'usage. Le notaire vérifiera le titre de propriété et la capacité du bailleur à donner à bail : ce sont des contrôles d'acte authentique, et c'est une des raisons pour lesquelles l'article 187 bis exige cette forme.</w:t>
      </w:r>
    </w:p>
    <w:p>
      <w:pPr>
        <w:spacing w:before="180" w:after="100"/>
      </w:pPr>
      <w:r>
        <w:rPr>
          <w:b/>
          <w:sz w:val="22"/>
          <w:szCs w:val="22"/>
          <w:color w:val="1E4E79"/>
        </w:rPr>
        <w:t xml:space="preserve">Le preneur</w:t>
      </w:r>
    </w:p>
    <w:p>
      <w:pPr>
        <w:spacing w:before="0" w:after="120"/>
      </w:pPr>
      <w:r>
        <w:rPr>
          <w:b/>
          <w:highlight w:val="yellow"/>
        </w:rPr>
        <w:t xml:space="preserve">[NOM ET PRÉNOM OU DÉNOMINATION SOCIALE DU PRENEUR]</w:t>
      </w:r>
      <w:r>
        <w:t xml:space="preserve">, </w:t>
      </w:r>
      <w:r>
        <w:rPr>
          <w:b/>
          <w:highlight w:val="yellow"/>
        </w:rPr>
        <w:t xml:space="preserve">[QUALITÉ, PERSONNE PHYSIQUE OU FORME JURIDIQUE]</w:t>
      </w:r>
    </w:p>
    <w:p>
      <w:pPr>
        <w:spacing w:before="0" w:after="120"/>
      </w:pPr>
      <w:r>
        <w:t xml:space="preserve">Demeurant ou ayant son siège à : </w:t>
      </w:r>
      <w:r>
        <w:rPr>
          <w:b/>
          <w:highlight w:val="yellow"/>
        </w:rPr>
        <w:t xml:space="preserve">[ADRESSE COMPLÈTE DU PRENEUR]</w:t>
      </w:r>
    </w:p>
    <w:p>
      <w:pPr>
        <w:spacing w:before="0" w:after="120"/>
      </w:pPr>
      <w:r>
        <w:t xml:space="preserve">Inscrit au </w:t>
      </w:r>
      <w:r>
        <w:rPr>
          <w:b/>
          <w:highlight w:val="yellow"/>
        </w:rPr>
        <w:t xml:space="preserve">[REGISTRE DU COMMERCE OU REGISTRE DES MÉTIERS ET DE L'ARTISANAT]</w:t>
      </w:r>
      <w:r>
        <w:t xml:space="preserve"> sous le n° </w:t>
      </w:r>
      <w:r>
        <w:rPr>
          <w:b/>
          <w:highlight w:val="yellow"/>
        </w:rPr>
        <w:t xml:space="preserve">[NUMÉRO D'INSCRIPTION]</w:t>
      </w:r>
    </w:p>
    <w:p>
      <w:pPr>
        <w:spacing w:before="0" w:after="120"/>
      </w:pPr>
      <w:r>
        <w:t xml:space="preserve">Identifiant fiscal : </w:t>
      </w:r>
      <w:r>
        <w:rPr>
          <w:b/>
          <w:highlight w:val="yellow"/>
        </w:rPr>
        <w:t xml:space="preserve">[NIF]</w:t>
      </w:r>
    </w:p>
    <w:p>
      <w:pPr>
        <w:spacing w:before="0" w:after="100"/>
      </w:pPr>
      <w:r>
        <w:rPr>
          <w:i/>
          <w:sz w:val="16"/>
          <w:szCs w:val="16"/>
          <w:color w:val="5A6B7C"/>
        </w:rPr>
        <w:t xml:space="preserve">Article 169 du code de commerce. Cette ligne n'est pas décorative : l'application du régime du bail commercial est subordonnée à l'inscription régulière du titulaire du fonds, au registre du commerce pour le commerçant et l'industriel, au registre des métiers et de l'artisanat pour l'artisan et l'entreprise artisanale.</w:t>
      </w:r>
    </w:p>
    <w:p>
      <w:pPr>
        <w:spacing w:before="0" w:after="60"/>
      </w:pPr>
    </w:p>
    <w:p>
      <w:pPr>
        <w:spacing w:before="0" w:after="120"/>
      </w:pPr>
      <w:r>
        <w:t xml:space="preserve">IL A ÉTÉ CONVENU CE QUI SUIT, SOUS RÉSERVE DE L'ÉTABLISSEMENT DE L'ACTE EN LA FORME AUTHENTIQUE.</w:t>
      </w:r>
    </w:p>
    <w:p>
      <w:pPr>
        <w:spacing w:before="260" w:after="120"/>
      </w:pPr>
      <w:r>
        <w:rPr>
          <w:b/>
          <w:sz w:val="26"/>
          <w:szCs w:val="26"/>
          <w:color w:val="1E4E79"/>
        </w:rPr>
        <w:t xml:space="preserve">Article 1. Désignation des lieux loués</w:t>
      </w:r>
    </w:p>
    <w:p>
      <w:pPr>
        <w:spacing w:before="0" w:after="120"/>
      </w:pPr>
      <w:r>
        <w:t xml:space="preserve">Le bailleur donne à bail au preneur le local à usage commercial situé à : </w:t>
      </w:r>
      <w:r>
        <w:rPr>
          <w:b/>
          <w:highlight w:val="yellow"/>
        </w:rPr>
        <w:t xml:space="preserve">[ADRESSE COMPLÈTE DU LOCAL]</w:t>
      </w:r>
      <w:r>
        <w:t xml:space="preserve">, d'une superficie de </w:t>
      </w:r>
      <w:r>
        <w:rPr>
          <w:b/>
          <w:highlight w:val="yellow"/>
        </w:rPr>
        <w:t xml:space="preserve">[SUPERFICIE]</w:t>
      </w:r>
      <w:r>
        <w:t xml:space="preserve"> mètres carrés, composé de </w:t>
      </w:r>
      <w:r>
        <w:rPr>
          <w:b/>
          <w:highlight w:val="yellow"/>
        </w:rPr>
        <w:t xml:space="preserve">[DESCRIPTION DES PIÈCES ET DÉPENDANCES]</w:t>
      </w:r>
      <w:r>
        <w:t xml:space="preserve">.</w:t>
      </w:r>
    </w:p>
    <w:p>
      <w:pPr>
        <w:spacing w:before="0" w:after="120"/>
      </w:pPr>
      <w:r>
        <w:t xml:space="preserve">Le local est délivré dans l'état décrit à l'état des lieux annexé au présent projet.</w:t>
      </w:r>
    </w:p>
    <w:p>
      <w:pPr>
        <w:spacing w:before="0" w:after="100"/>
      </w:pPr>
      <w:r>
        <w:rPr>
          <w:i/>
          <w:sz w:val="16"/>
          <w:szCs w:val="16"/>
          <w:color w:val="5A6B7C"/>
        </w:rPr>
        <w:t xml:space="preserve">Clause d'usage pour la description. L'état des lieux n'est imposé par aucun article que nous ayons lu ; il est proposé parce qu'un litige de fin de bail sans état des lieux d'entrée se règle mal.</w:t>
      </w:r>
    </w:p>
    <w:p>
      <w:pPr>
        <w:spacing w:before="260" w:after="120"/>
      </w:pPr>
      <w:r>
        <w:rPr>
          <w:b/>
          <w:sz w:val="26"/>
          <w:szCs w:val="26"/>
          <w:color w:val="1E4E79"/>
        </w:rPr>
        <w:t xml:space="preserve">Article 2. Destination des lieux</w:t>
      </w:r>
    </w:p>
    <w:p>
      <w:pPr>
        <w:spacing w:before="0" w:after="120"/>
      </w:pPr>
      <w:r>
        <w:t xml:space="preserve">Les lieux loués sont destinés à l'exploitation de l'activité suivante : </w:t>
      </w:r>
      <w:r>
        <w:rPr>
          <w:b/>
          <w:highlight w:val="yellow"/>
        </w:rPr>
        <w:t xml:space="preserve">[ACTIVITÉ EXERCÉE, TELLE QU'INSCRITE AU REGISTRE]</w:t>
      </w:r>
      <w:r>
        <w:t xml:space="preserve">. Le preneur ne pourra changer cette destination sans l'accord écrit préalable du bailleur.</w:t>
      </w:r>
    </w:p>
    <w:p>
      <w:pPr>
        <w:spacing w:before="0" w:after="100"/>
      </w:pPr>
      <w:r>
        <w:rPr>
          <w:i/>
          <w:sz w:val="16"/>
          <w:szCs w:val="16"/>
          <w:color w:val="5A6B7C"/>
        </w:rPr>
        <w:t xml:space="preserve">Clause d'usage, adossée à l'article 169 qui exige qu'un fonds soit exploité dans les lieux. L'activité écrite ici doit correspondre à celle inscrite au registre du commerce ou au registre des métiers et de l'artisanat du preneur.</w:t>
      </w:r>
    </w:p>
    <w:p>
      <w:pPr>
        <w:spacing w:before="260" w:after="120"/>
      </w:pPr>
      <w:r>
        <w:rPr>
          <w:b/>
          <w:sz w:val="26"/>
          <w:szCs w:val="26"/>
          <w:color w:val="1E4E79"/>
        </w:rPr>
        <w:t xml:space="preserve">Article 3. Durée</w:t>
      </w:r>
    </w:p>
    <w:p>
      <w:pPr>
        <w:spacing w:before="0" w:after="120"/>
      </w:pPr>
      <w:r>
        <w:t xml:space="preserve">Le présent bail est consenti pour une durée de </w:t>
      </w:r>
      <w:r>
        <w:rPr>
          <w:b/>
          <w:highlight w:val="yellow"/>
        </w:rPr>
        <w:t xml:space="preserve">[DURÉE EN LETTRES ET EN CHIFFRES]</w:t>
      </w:r>
      <w:r>
        <w:t xml:space="preserve">, prenant effet le </w:t>
      </w:r>
      <w:r>
        <w:rPr>
          <w:b/>
          <w:highlight w:val="yellow"/>
        </w:rPr>
        <w:t xml:space="preserve">[DATE DE PRISE D'EFFET]</w:t>
      </w:r>
      <w:r>
        <w:t xml:space="preserve"> pour se terminer le </w:t>
      </w:r>
      <w:r>
        <w:rPr>
          <w:b/>
          <w:highlight w:val="yellow"/>
        </w:rPr>
        <w:t xml:space="preserve">[DATE D'ÉCHÉANCE]</w:t>
      </w:r>
      <w:r>
        <w:t xml:space="preserve">.</w:t>
      </w:r>
    </w:p>
    <w:p>
      <w:pPr>
        <w:spacing w:before="0" w:after="100"/>
      </w:pPr>
      <w:r>
        <w:rPr>
          <w:i/>
          <w:sz w:val="16"/>
          <w:szCs w:val="16"/>
          <w:color w:val="5A6B7C"/>
        </w:rPr>
        <w:t xml:space="preserve">Article 187 bis du code de commerce, premier alinéa : les baux commerciaux sont conclus pour une durée librement fixée par les parties. Aucun texte que nous ayons lu n'impose de durée minimale ni de durée type, et ce modèle n'en suggère donc aucune.</w:t>
      </w:r>
    </w:p>
    <w:p>
      <w:pPr>
        <w:spacing w:before="260" w:after="120"/>
      </w:pPr>
      <w:r>
        <w:rPr>
          <w:b/>
          <w:sz w:val="26"/>
          <w:szCs w:val="26"/>
          <w:color w:val="1E4E79"/>
        </w:rPr>
        <w:t xml:space="preserve">Article 4. Sortie à l'échéance, congé et indemnité d'éviction</w:t>
      </w:r>
    </w:p>
    <w:p>
      <w:pPr>
        <w:spacing w:before="0" w:after="120"/>
      </w:pPr>
      <w:r>
        <w:t xml:space="preserve">Les parties conviennent expressément de retenir l'une des deux options suivantes. RAYEZ CELLE QUI N'EST PAS RETENUE.</w:t>
      </w:r>
    </w:p>
    <w:p>
      <w:pPr>
        <w:spacing w:before="0" w:after="60"/>
      </w:pPr>
    </w:p>
    <w:p>
      <w:pPr>
        <w:spacing w:before="180" w:after="100"/>
      </w:pPr>
      <w:r>
        <w:rPr>
          <w:b/>
          <w:sz w:val="22"/>
          <w:szCs w:val="22"/>
          <w:color w:val="1E4E79"/>
        </w:rPr>
        <w:t xml:space="preserve">Option A. Application de la règle légale par défaut</w:t>
      </w:r>
    </w:p>
    <w:p>
      <w:pPr>
        <w:spacing w:before="0" w:after="120"/>
      </w:pPr>
      <w:r>
        <w:t xml:space="preserve">À l'échéance du terme fixé à l'article 3, le preneur quittera les lieux loués sans qu'il soit besoin d'une signification de congé et sans pouvoir prétendre à l'indemnité d'éviction prévue par le code de commerce.</w:t>
      </w:r>
    </w:p>
    <w:p>
      <w:pPr>
        <w:spacing w:before="180" w:after="100"/>
      </w:pPr>
      <w:r>
        <w:rPr>
          <w:b/>
          <w:sz w:val="22"/>
          <w:szCs w:val="22"/>
          <w:color w:val="1E4E79"/>
        </w:rPr>
        <w:t xml:space="preserve">Option B. Stipulation contraire</w:t>
      </w:r>
    </w:p>
    <w:p>
      <w:pPr>
        <w:spacing w:before="0" w:after="120"/>
      </w:pPr>
      <w:r>
        <w:t xml:space="preserve">Par dérogation à la règle qui précède, les parties conviennent que : </w:t>
      </w:r>
      <w:r>
        <w:rPr>
          <w:b/>
          <w:highlight w:val="yellow"/>
        </w:rPr>
        <w:t xml:space="preserve">[ÉCRIRE LA STIPULATION CONTRAIRE RETENUE, PAR EXEMPLE UN DROIT AU RENOUVELLEMENT, UN PRÉAVIS DE CONGÉ, UNE INDEMNITÉ, OU PLUSIEURS DE CES ÉLÉMENTS]</w:t>
      </w:r>
      <w:r>
        <w:t xml:space="preserve">.</w:t>
      </w:r>
    </w:p>
    <w:p>
      <w:pPr>
        <w:spacing w:before="0" w:after="100"/>
      </w:pPr>
      <w:r>
        <w:rPr>
          <w:i/>
          <w:sz w:val="16"/>
          <w:szCs w:val="16"/>
          <w:color w:val="5A6B7C"/>
        </w:rPr>
        <w:t xml:space="preserve">Article 187 bis, second alinéa : sauf stipulation contraire des parties, le preneur est tenu de quitter les lieux loués à l'échéance du terme fixé par le contrat, sans signification de congé et sans prétendre à l'indemnité d'éviction telle que prévue par le code de commerce. ATTENTION : si cet article est laissé vide, c'est l'option A qui s'applique, parce qu'elle est la règle légale par défaut. C'est la clause la plus lourde du contrat pour un preneur qui investit dans l'aménagement du local. Nous ne choisissons pas à votre place : ce choix n'a pas de bonne réponse générale.</w:t>
      </w:r>
    </w:p>
    <w:p>
      <w:pPr>
        <w:spacing w:before="0" w:after="100"/>
      </w:pPr>
      <w:r>
        <w:rPr>
          <w:i/>
          <w:sz w:val="16"/>
          <w:szCs w:val="16"/>
          <w:color w:val="5A6B7C"/>
        </w:rPr>
        <w:t xml:space="preserve">Nous ne décrivons pas ce qu'est l'indemnité d'éviction ni comment elle se calcule. L'article 187 bis y renvoie par les mots telle que prévue par le présent code, et les articles du code qui la prévoient sont dans leur rédaction de 1975, que nous n'avons pas pu lire. Posez la question au notaire.</w:t>
      </w:r>
    </w:p>
    <w:p>
      <w:r>
        <w:br w:type="page"/>
      </w:r>
    </w:p>
    <w:p>
      <w:pPr>
        <w:spacing w:before="260" w:after="120"/>
      </w:pPr>
      <w:r>
        <w:rPr>
          <w:b/>
          <w:sz w:val="26"/>
          <w:szCs w:val="26"/>
          <w:color w:val="1E4E79"/>
        </w:rPr>
        <w:t xml:space="preserve">Article 5. Loyer</w:t>
      </w:r>
    </w:p>
    <w:p>
      <w:pPr>
        <w:spacing w:before="0" w:after="120"/>
      </w:pPr>
      <w:r>
        <w:t xml:space="preserve">Le loyer est fixé à la somme de </w:t>
      </w:r>
      <w:r>
        <w:rPr>
          <w:b/>
          <w:highlight w:val="yellow"/>
        </w:rPr>
        <w:t xml:space="preserve">[MONTANT EN LETTRES ET EN CHIFFRES]</w:t>
      </w:r>
      <w:r>
        <w:t xml:space="preserve"> dinars algériens par </w:t>
      </w:r>
      <w:r>
        <w:rPr>
          <w:b/>
          <w:highlight w:val="yellow"/>
        </w:rPr>
        <w:t xml:space="preserve">[PÉRIODICITÉ, MOIS OU TRIMESTRE OU ANNÉE]</w:t>
      </w:r>
      <w:r>
        <w:t xml:space="preserve">, payable </w:t>
      </w:r>
      <w:r>
        <w:rPr>
          <w:b/>
          <w:highlight w:val="yellow"/>
        </w:rPr>
        <w:t xml:space="preserve">[MODALITÉS ET DATE DE PAIEMENT]</w:t>
      </w:r>
      <w:r>
        <w:t xml:space="preserve"> par </w:t>
      </w:r>
      <w:r>
        <w:rPr>
          <w:b/>
          <w:highlight w:val="yellow"/>
        </w:rPr>
        <w:t xml:space="preserve">[MODE DE RÈGLEMENT]</w:t>
      </w:r>
      <w:r>
        <w:t xml:space="preserve">.</w:t>
      </w:r>
    </w:p>
    <w:p>
      <w:pPr>
        <w:spacing w:before="0" w:after="100"/>
      </w:pPr>
      <w:r>
        <w:rPr>
          <w:i/>
          <w:sz w:val="16"/>
          <w:szCs w:val="16"/>
          <w:color w:val="5A6B7C"/>
        </w:rPr>
        <w:t xml:space="preserve">Clause d'usage. Aucun texte que nous ayons lu n'encadre le montant, la périodicité ou le mode de règlement du loyer d'un bail commercial.</w:t>
      </w:r>
    </w:p>
    <w:p>
      <w:pPr>
        <w:spacing w:before="260" w:after="120"/>
      </w:pPr>
      <w:r>
        <w:rPr>
          <w:b/>
          <w:sz w:val="26"/>
          <w:szCs w:val="26"/>
          <w:color w:val="1E4E79"/>
        </w:rPr>
        <w:t xml:space="preserve">Article 6. Révision du loyer</w:t>
      </w:r>
    </w:p>
    <w:p>
      <w:pPr>
        <w:spacing w:before="0" w:after="120"/>
      </w:pPr>
      <w:r>
        <w:t xml:space="preserve">Le montant du loyer pourra être révisé à la demande de l'une ou de l'autre des parties, sous les réserves prévues à l'article 193 du code de commerce.</w:t>
      </w:r>
    </w:p>
    <w:p>
      <w:pPr>
        <w:spacing w:before="0" w:after="120"/>
      </w:pPr>
      <w:r>
        <w:t xml:space="preserve">La demande de révision devra, à peine d'irrégularité, être formée par acte extrajudiciaire ou par lettre recommandée avec demande d'avis de réception. Elle devra, sous peine de nullité, préciser le montant du loyer demandé ou offert.</w:t>
      </w:r>
    </w:p>
    <w:p>
      <w:pPr>
        <w:spacing w:before="0" w:after="100"/>
      </w:pPr>
      <w:r>
        <w:rPr>
          <w:i/>
          <w:sz w:val="16"/>
          <w:szCs w:val="16"/>
          <w:color w:val="5A6B7C"/>
        </w:rPr>
        <w:t xml:space="preserve">Article 192 du code de commerce dans sa rédaction issue de la loi 05-02. La seconde exigence est sanctionnée par le texte lui même : une demande de révision qui ne chiffre pas le loyer demandé ou offert est nulle. Nous nommons l'article 193 parce que l'article 192 le nomme, et nous n'en décrivons pas le contenu : il est dans sa rédaction de 1975 et nous ne l'avons pas lu.</w:t>
      </w:r>
    </w:p>
    <w:p>
      <w:pPr>
        <w:spacing w:before="260" w:after="120"/>
      </w:pPr>
      <w:r>
        <w:rPr>
          <w:b/>
          <w:sz w:val="26"/>
          <w:szCs w:val="26"/>
          <w:color w:val="1E4E79"/>
        </w:rPr>
        <w:t xml:space="preserve">Article 7. Dépôt de garantie</w:t>
      </w:r>
    </w:p>
    <w:p>
      <w:pPr>
        <w:spacing w:before="0" w:after="120"/>
      </w:pPr>
      <w:r>
        <w:t xml:space="preserve">Le preneur verse au bailleur, à la signature de l'acte authentique, un dépôt de garantie de </w:t>
      </w:r>
      <w:r>
        <w:rPr>
          <w:b/>
          <w:highlight w:val="yellow"/>
        </w:rPr>
        <w:t xml:space="preserve">[MONTANT EN LETTRES ET EN CHIFFRES]</w:t>
      </w:r>
      <w:r>
        <w:t xml:space="preserve"> dinars algériens, restituable dans les conditions suivantes : </w:t>
      </w:r>
      <w:r>
        <w:rPr>
          <w:b/>
          <w:highlight w:val="yellow"/>
        </w:rPr>
        <w:t xml:space="preserve">[CONDITIONS ET DÉLAI DE RESTITUTION]</w:t>
      </w:r>
      <w:r>
        <w:t xml:space="preserve">.</w:t>
      </w:r>
    </w:p>
    <w:p>
      <w:pPr>
        <w:spacing w:before="0" w:after="100"/>
      </w:pPr>
      <w:r>
        <w:rPr>
          <w:i/>
          <w:sz w:val="16"/>
          <w:szCs w:val="16"/>
          <w:color w:val="5A6B7C"/>
        </w:rPr>
        <w:t xml:space="preserve">Clause d'usage. Aucun texte lu n'impose de dépôt de garantie ni n'en fixe le montant ou les conditions de restitution.</w:t>
      </w:r>
    </w:p>
    <w:p>
      <w:pPr>
        <w:spacing w:before="260" w:after="120"/>
      </w:pPr>
      <w:r>
        <w:rPr>
          <w:b/>
          <w:sz w:val="26"/>
          <w:szCs w:val="26"/>
          <w:color w:val="1E4E79"/>
        </w:rPr>
        <w:t xml:space="preserve">Article 8. Charges, impôts et taxes</w:t>
      </w:r>
    </w:p>
    <w:p>
      <w:pPr>
        <w:spacing w:before="0" w:after="120"/>
      </w:pPr>
      <w:r>
        <w:t xml:space="preserve">La répartition des charges, impôts et taxes afférents aux lieux loués est la suivante : </w:t>
      </w:r>
      <w:r>
        <w:rPr>
          <w:b/>
          <w:highlight w:val="yellow"/>
        </w:rPr>
        <w:t xml:space="preserve">[RÉPARTITION CONVENUE ENTRE BAILLEUR ET PRENEUR, POSTE PAR POSTE]</w:t>
      </w:r>
      <w:r>
        <w:t xml:space="preserve">.</w:t>
      </w:r>
    </w:p>
    <w:p>
      <w:pPr>
        <w:spacing w:before="0" w:after="100"/>
      </w:pPr>
      <w:r>
        <w:rPr>
          <w:i/>
          <w:sz w:val="16"/>
          <w:szCs w:val="16"/>
          <w:color w:val="5A6B7C"/>
        </w:rPr>
        <w:t xml:space="preserve">Clause d'usage. Le régime légal de la répartition des charges figure dans des articles du code de commerce que nous n'avons pas pu lire. Le notaire confrontera cette clause au texte.</w:t>
      </w:r>
    </w:p>
    <w:p>
      <w:pPr>
        <w:spacing w:before="260" w:after="120"/>
      </w:pPr>
      <w:r>
        <w:rPr>
          <w:b/>
          <w:sz w:val="26"/>
          <w:szCs w:val="26"/>
          <w:color w:val="1E4E79"/>
        </w:rPr>
        <w:t xml:space="preserve">Article 9. Travaux, entretien et réparations</w:t>
      </w:r>
    </w:p>
    <w:p>
      <w:pPr>
        <w:spacing w:before="0" w:after="120"/>
      </w:pPr>
      <w:r>
        <w:t xml:space="preserve">La charge de l'entretien courant, des réparations et des travaux est répartie comme suit : </w:t>
      </w:r>
      <w:r>
        <w:rPr>
          <w:b/>
          <w:highlight w:val="yellow"/>
        </w:rPr>
        <w:t xml:space="preserve">[RÉPARTITION CONVENUE]</w:t>
      </w:r>
      <w:r>
        <w:t xml:space="preserve">. Les travaux d'aménagement entrepris par le preneur sont soumis à : </w:t>
      </w:r>
      <w:r>
        <w:rPr>
          <w:b/>
          <w:highlight w:val="yellow"/>
        </w:rPr>
        <w:t xml:space="preserve">[ACCORD PRÉALABLE ÉCRIT DU BAILLEUR OU AUTRE MODALITÉ CONVENUE]</w:t>
      </w:r>
      <w:r>
        <w:t xml:space="preserve">, et leur sort en fin de bail est le suivant : </w:t>
      </w:r>
      <w:r>
        <w:rPr>
          <w:b/>
          <w:highlight w:val="yellow"/>
        </w:rPr>
        <w:t xml:space="preserve">[SORT DES AMÉNAGEMENTS EN FIN DE BAIL]</w:t>
      </w:r>
      <w:r>
        <w:t xml:space="preserve">.</w:t>
      </w:r>
    </w:p>
    <w:p>
      <w:pPr>
        <w:spacing w:before="0" w:after="100"/>
      </w:pPr>
      <w:r>
        <w:rPr>
          <w:i/>
          <w:sz w:val="16"/>
          <w:szCs w:val="16"/>
          <w:color w:val="5A6B7C"/>
        </w:rPr>
        <w:t xml:space="preserve">Clause d'usage. Le sort des aménagements en fin de bail se relie directement au choix fait à l'article 4 : c'est là que se mesure ce qu'un preneur perd ou conserve à l'échéance. Traitez les deux clauses ensemble.</w:t>
      </w:r>
    </w:p>
    <w:p>
      <w:pPr>
        <w:spacing w:before="260" w:after="120"/>
      </w:pPr>
      <w:r>
        <w:rPr>
          <w:b/>
          <w:sz w:val="26"/>
          <w:szCs w:val="26"/>
          <w:color w:val="1E4E79"/>
        </w:rPr>
        <w:t xml:space="preserve">Article 10. Assurances</w:t>
      </w:r>
    </w:p>
    <w:p>
      <w:pPr>
        <w:spacing w:before="0" w:after="120"/>
      </w:pPr>
      <w:r>
        <w:t xml:space="preserve">Le preneur s'engage à souscrire et à maintenir en vigueur pendant toute la durée du bail les polices d'assurance suivantes : </w:t>
      </w:r>
      <w:r>
        <w:rPr>
          <w:b/>
          <w:highlight w:val="yellow"/>
        </w:rPr>
        <w:t xml:space="preserve">[POLICES EXIGÉES]</w:t>
      </w:r>
      <w:r>
        <w:t xml:space="preserve">, et à en justifier au bailleur sur demande.</w:t>
      </w:r>
    </w:p>
    <w:p>
      <w:pPr>
        <w:spacing w:before="0" w:after="100"/>
      </w:pPr>
      <w:r>
        <w:rPr>
          <w:i/>
          <w:sz w:val="16"/>
          <w:szCs w:val="16"/>
          <w:color w:val="5A6B7C"/>
        </w:rPr>
        <w:t xml:space="preserve">Clause d'usage. Les obligations d'assurance qui pèseraient par ailleurs sur l'une ou l'autre des parties relèvent de textes que nous n'avons pas lus pour ce modèle.</w:t>
      </w:r>
    </w:p>
    <w:p>
      <w:pPr>
        <w:spacing w:before="260" w:after="120"/>
      </w:pPr>
      <w:r>
        <w:rPr>
          <w:b/>
          <w:sz w:val="26"/>
          <w:szCs w:val="26"/>
          <w:color w:val="1E4E79"/>
        </w:rPr>
        <w:t xml:space="preserve">Article 11. Sous location et cession</w:t>
      </w:r>
    </w:p>
    <w:p>
      <w:pPr>
        <w:spacing w:before="0" w:after="120"/>
      </w:pPr>
      <w:r>
        <w:t xml:space="preserve">La sous location totale ou partielle des lieux loués et la cession du présent bail sont soumises à : </w:t>
      </w:r>
      <w:r>
        <w:rPr>
          <w:b/>
          <w:highlight w:val="yellow"/>
        </w:rPr>
        <w:t xml:space="preserve">[INTERDICTION, OU ACCORD ÉCRIT PRÉALABLE DU BAILLEUR, OU AUTRE MODALITÉ CONVENUE]</w:t>
      </w:r>
      <w:r>
        <w:t xml:space="preserve">.</w:t>
      </w:r>
    </w:p>
    <w:p>
      <w:pPr>
        <w:spacing w:before="0" w:after="100"/>
      </w:pPr>
      <w:r>
        <w:rPr>
          <w:i/>
          <w:sz w:val="16"/>
          <w:szCs w:val="16"/>
          <w:color w:val="5A6B7C"/>
        </w:rPr>
        <w:t xml:space="preserve">Clause d'usage. Le régime légal de la sous location et de la cession du bail figure dans des articles du code de commerce de 1975 que nous n'avons pas pu lire. Cette clause est à confronter au texte par le notaire avant l'acte : ne la considérez pas comme réglée par le seul fait de l'avoir écrite.</w:t>
      </w:r>
    </w:p>
    <w:p>
      <w:pPr>
        <w:spacing w:before="260" w:after="120"/>
      </w:pPr>
      <w:r>
        <w:rPr>
          <w:b/>
          <w:sz w:val="26"/>
          <w:szCs w:val="26"/>
          <w:color w:val="1E4E79"/>
        </w:rPr>
        <w:t xml:space="preserve">Article 12. Obligations du preneur</w:t>
      </w:r>
    </w:p>
    <w:p>
      <w:pPr>
        <w:spacing w:before="0" w:after="120"/>
      </w:pPr>
      <w:r>
        <w:t xml:space="preserve">Le preneur s'oblige à jouir paisiblement des lieux, à les occuper conformément à la destination convenue à l'article 2, à maintenir son inscription au registre visé en tête du présent projet pendant toute la durée du bail, et à : </w:t>
      </w:r>
      <w:r>
        <w:rPr>
          <w:b/>
          <w:highlight w:val="yellow"/>
        </w:rPr>
        <w:t xml:space="preserve">[AUTRES OBLIGATIONS CONVENUES]</w:t>
      </w:r>
      <w:r>
        <w:t xml:space="preserve">.</w:t>
      </w:r>
    </w:p>
    <w:p>
      <w:pPr>
        <w:spacing w:before="0" w:after="100"/>
      </w:pPr>
      <w:r>
        <w:rPr>
          <w:i/>
          <w:sz w:val="16"/>
          <w:szCs w:val="16"/>
          <w:color w:val="5A6B7C"/>
        </w:rPr>
        <w:t xml:space="preserve">Clause d'usage. Le maintien de l'inscription est rappelé parce que l'article 169 y subordonne l'application du régime du bail commercial.</w:t>
      </w:r>
    </w:p>
    <w:p>
      <w:pPr>
        <w:spacing w:before="260" w:after="120"/>
      </w:pPr>
      <w:r>
        <w:rPr>
          <w:b/>
          <w:sz w:val="26"/>
          <w:szCs w:val="26"/>
          <w:color w:val="1E4E79"/>
        </w:rPr>
        <w:t xml:space="preserve">Article 13. Règlement des différends</w:t>
      </w:r>
    </w:p>
    <w:p>
      <w:pPr>
        <w:spacing w:before="0" w:after="120"/>
      </w:pPr>
      <w:r>
        <w:t xml:space="preserve">Les parties conviennent de soumettre tout différend né du présent bail à : </w:t>
      </w:r>
      <w:r>
        <w:rPr>
          <w:b/>
          <w:highlight w:val="yellow"/>
        </w:rPr>
        <w:t xml:space="preserve">[MODE DE RÈGLEMENT CONVENU ET JURIDICTION OU INSTANCE DÉSIGNÉE]</w:t>
      </w:r>
      <w:r>
        <w:t xml:space="preserve">.</w:t>
      </w:r>
    </w:p>
    <w:p>
      <w:pPr>
        <w:spacing w:before="0" w:after="100"/>
      </w:pPr>
      <w:r>
        <w:rPr>
          <w:i/>
          <w:sz w:val="16"/>
          <w:szCs w:val="16"/>
          <w:color w:val="5A6B7C"/>
        </w:rPr>
        <w:t xml:space="preserve">Clause d'usage. Nous ne désignons aucune juridiction et nous n'affirmons aucune règle de compétence : nous n'avons lu aucun texte de compétence pour cette famille.</w:t>
      </w:r>
    </w:p>
    <w:p>
      <w:pPr>
        <w:spacing w:before="260" w:after="120"/>
      </w:pPr>
      <w:r>
        <w:rPr>
          <w:b/>
          <w:sz w:val="26"/>
          <w:szCs w:val="26"/>
          <w:color w:val="1E4E79"/>
        </w:rPr>
        <w:t xml:space="preserve">Article 14. Forme de l'acte</w:t>
      </w:r>
    </w:p>
    <w:p>
      <w:pPr>
        <w:spacing w:before="0" w:after="120"/>
      </w:pPr>
      <w:r>
        <w:t xml:space="preserve">Le présent document constitue un projet. Les parties reconnaissent que le bail commercial doit, sous peine de nullité, être dressé en la forme authentique, et elles conviennent de se présenter devant </w:t>
      </w:r>
      <w:r>
        <w:rPr>
          <w:b/>
          <w:highlight w:val="yellow"/>
        </w:rPr>
        <w:t xml:space="preserve">[NOM ET RÉSIDENCE DU NOTAIRE]</w:t>
      </w:r>
      <w:r>
        <w:t xml:space="preserve"> le </w:t>
      </w:r>
      <w:r>
        <w:rPr>
          <w:b/>
          <w:highlight w:val="yellow"/>
        </w:rPr>
        <w:t xml:space="preserve">[DATE PRÉVUE]</w:t>
      </w:r>
      <w:r>
        <w:t xml:space="preserve"> pour l'établissement de l'acte.</w:t>
      </w:r>
    </w:p>
    <w:p>
      <w:pPr>
        <w:spacing w:before="0" w:after="120"/>
      </w:pPr>
      <w:r>
        <w:t xml:space="preserve">La signature du présent projet ne forme aucun bail et ne fait courir aucune obligation de bail entre les parties.</w:t>
      </w:r>
    </w:p>
    <w:p>
      <w:pPr>
        <w:spacing w:before="0" w:after="100"/>
      </w:pPr>
      <w:r>
        <w:rPr>
          <w:i/>
          <w:sz w:val="16"/>
          <w:szCs w:val="16"/>
          <w:color w:val="5A6B7C"/>
        </w:rPr>
        <w:t xml:space="preserve">Article 187 bis du code de commerce, premier alinéa. Cette clause est la raison d'être du document : elle empêche qu'un projet rempli soit pris pour un contrat conclu.</w:t>
      </w:r>
    </w:p>
    <w:p>
      <w:pPr>
        <w:spacing w:before="0" w:after="60"/>
      </w:pPr>
    </w:p>
    <w:p>
      <w:pPr>
        <w:spacing w:before="0" w:after="120"/>
      </w:pPr>
      <w:r>
        <w:t xml:space="preserve">Fait à </w:t>
      </w:r>
      <w:r>
        <w:rPr>
          <w:b/>
          <w:highlight w:val="yellow"/>
        </w:rPr>
        <w:t xml:space="preserve">[VILLE]</w:t>
      </w:r>
      <w:r>
        <w:t xml:space="preserve">, le </w:t>
      </w:r>
      <w:r>
        <w:rPr>
          <w:b/>
          <w:highlight w:val="yellow"/>
        </w:rPr>
        <w:t xml:space="preserve">[DATE]</w:t>
      </w:r>
      <w:r>
        <w:t xml:space="preserve">, en </w:t>
      </w:r>
      <w:r>
        <w:rPr>
          <w:b/>
          <w:highlight w:val="yellow"/>
        </w:rPr>
        <w:t xml:space="preserve">[NOMBRE]</w:t>
      </w:r>
      <w:r>
        <w:t xml:space="preserve"> exemplaires, à titre de projet.</w:t>
      </w:r>
    </w:p>
    <w:p>
      <w:pPr>
        <w:jc w:val="center"/>
        <w:spacing w:before="320" w:after="480"/>
      </w:pPr>
      <w:r>
        <w:rPr>
          <w:b/>
        </w:rPr>
        <w:t xml:space="preserve">Le bailleur</w:t>
      </w:r>
      <w:r>
        <w:t xml:space="preserve">      </w:t>
      </w:r>
      <w:r>
        <w:rPr>
          <w:b/>
        </w:rPr>
        <w:t xml:space="preserve">Le preneur</w:t>
      </w:r>
    </w:p>
    <w:p>
      <w:r>
        <w:br w:type="page"/>
      </w:r>
    </w:p>
    <w:p>
      <w:pPr>
        <w:spacing w:before="260" w:after="120"/>
      </w:pPr>
      <w:r>
        <w:rPr>
          <w:b/>
          <w:sz w:val="26"/>
          <w:szCs w:val="26"/>
          <w:color w:val="1E4E79"/>
        </w:rPr>
        <w:t xml:space="preserve">Références légales citées dans ce projet</w:t>
      </w:r>
    </w:p>
    <w:p>
      <w:pPr>
        <w:numPr>
          <w:ilvl w:val="0"/>
          <w:numId w:val="1"/>
        </w:numPr>
        <w:spacing w:before="0" w:after="60"/>
      </w:pPr>
      <w:r>
        <w:t xml:space="preserve">Ordonnance n° 75-59 du 26 septembre 1975 portant code de commerce, modifiée et complétée.</w:t>
      </w:r>
    </w:p>
    <w:p>
      <w:pPr>
        <w:numPr>
          <w:ilvl w:val="0"/>
          <w:numId w:val="1"/>
        </w:numPr>
        <w:spacing w:before="0" w:after="60"/>
      </w:pPr>
      <w:r>
        <w:t xml:space="preserve">Loi n° 05-02 du 6 février 2005 modifiant et complétant l'ordonnance n° 75-59, Journal officiel n° 11 du 9 février 2005, page 7 pour l'édition française et pages 8 et 9 pour l'édition originale arabe. Article 169 pour le champ d'application, article 170 pour les communes et les entreprises publiques économiques, article 187 bis pour la forme authentique, la durée libre et la sortie à l'échéance, article 187 ter pour les baux antérieurs, article 192 pour la révision du loyer.</w:t>
      </w:r>
    </w:p>
    <w:p>
      <w:pPr>
        <w:numPr>
          <w:ilvl w:val="0"/>
          <w:numId w:val="1"/>
        </w:numPr>
        <w:spacing w:before="0" w:after="60"/>
      </w:pPr>
      <w:r>
        <w:t xml:space="preserve">L'article 193 est nommé uniquement parce que l'article 192 le nomme. Son contenu n'est pas décrit ici : il est dans sa rédaction de 1975, que nous n'avons pas pu lire.</w:t>
      </w:r>
    </w:p>
    <w:p>
      <w:pPr>
        <w:spacing w:before="0" w:after="100"/>
      </w:pPr>
      <w:r>
        <w:rPr>
          <w:i/>
          <w:sz w:val="16"/>
          <w:szCs w:val="16"/>
          <w:color w:val="5A6B7C"/>
        </w:rPr>
        <w:t xml:space="preserve">La loi 05-02 a été lue sur le rendu image des pages du Journal officiel, à 300 points par pouce, dans ses deux éditions. Les articles 171 à 187 et 193 et suivants du code de commerce ne sont cités nulle part dans ce projet : l'ordonnance 75-59 a été publiée au Journal officiel n° 101 du 19 décembre 1975, numéro que notre archive ne contient pas. Le détail de la vérification est publié sur upgrowth.dz/modele-bail-commercial-algerie.</w:t>
      </w:r>
    </w:p>
    <w:sectPr>
      <w:footerReference w:type="default" r:id="rId3"/>
      <w:pgSz w:w="11906" w:h="16838"/>
      <w:pgMar w:top="1418" w:right="1418" w:bottom="1418" w:left="1418" w:header="709" w:footer="709" w:gutter="0"/>
    </w:sectPr>
  </w:body>
</w:document>
</file>

<file path=word/footer1.xml><?xml version="1.0" encoding="utf-8"?>
<w:ftr xmlns:w="http://schemas.openxmlformats.org/wordprocessingml/2006/main">
  <w:p>
    <w:pPr>
      <w:pStyle w:val="Footer"/>
    </w:pPr>
    <w:r>
      <w:rPr>
        <w:sz w:val="15"/>
        <w:color w:val="5A6B7C"/>
      </w:rPr>
      <w:t xml:space="preserve">Projet de bail commercial fourni gratuitement par UpGrowth (upgrowth.dz). Ne constitue pas une consultation juridique. L'article 187 bis du code de commerce impose la forme authentique sous peine de nullité : ce document se remet au notaire, il ne se signe pas entre les parties.</w:t>
    </w:r>
  </w:p>
</w:ft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720" w:hanging="360"/>
      </w:pPr>
      <w:rPr>
        <w:rFonts w:ascii="Symbol" w:hAnsi="Symbol" w:hint="default"/>
      </w:rPr>
    </w:lvl>
  </w:abstractNum>
  <w:abstractNum w:abstractNumId="1">
    <w:multiLevelType w:val="hybridMultilevel"/>
    <w:lvl w:ilvl="0">
      <w:start w:val="1"/>
      <w:numFmt w:val="decimal"/>
      <w:lvlText w:val="%1."/>
      <w:lvlJc w:val="left"/>
      <w:pPr>
        <w:ind w:left="720" w:hanging="360"/>
      </w:pPr>
    </w:lvl>
  </w:abstractNum>
  <w:num w:numId="1">
    <w:abstractNumId w:val="0"/>
  </w:num>
  <w:num w:numId="2">
    <w:abstractNumId w:val="1"/>
  </w:num>
</w:numbering>
</file>

<file path=word/styles.xml><?xml version="1.0" encoding="utf-8"?>
<w:styles xmlns:w="http://schemas.openxmlformats.org/wordprocessingml/2006/main">
  <w:docDefaults>
    <w:rPrDefault>
      <w:rPr>
        <w:rFonts w:ascii="Calibri" w:hAnsi="Calibri" w:cs="Calibri"/>
        <w:sz w:val="21"/>
        <w:szCs w:val="21"/>
        <w:lang w:val="fr-FR"/>
      </w:rPr>
    </w:rPrDefault>
    <w:pPrDefault>
      <w:pPr>
        <w:spacing w:after="120" w:line="276" w:lineRule="auto"/>
        <w:jc w:val="both"/>
      </w:pPr>
    </w:pPrDefault>
  </w:docDefaults>
  <w:style w:type="paragraph" w:default="1" w:styleId="Normal">
    <w:name w:val="Normal"/>
    <w:qFormat/>
  </w:style>
  <w:style w:type="paragraph" w:styleId="Footer">
    <w:name w:val="footer"/>
    <w:pPr>
      <w:jc w:val="center"/>
      <w:spacing w:after="0"/>
    </w:pPr>
    <w:rPr>
      <w:sz w:val="15"/>
      <w:szCs w:val="15"/>
      <w:color w:val="5A6B7C"/>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footer" Target="footer1.xml"/>
</Relationships>
</file>

<file path=docProps/app.xml><?xml version="1.0" encoding="utf-8"?>
<Properties xmlns="http://schemas.openxmlformats.org/officeDocument/2006/extended-properties" xmlns:vt="http://schemas.openxmlformats.org/officeDocument/2006/docPropsVTypes">
  <Application>UpGrowth Template Generator</Application>
  <Company>UpGrowth</Company>
</Properties>
</file>

<file path=docProps/core.xml><?xml version="1.0" encoding="utf-8"?>
<cp:coreProperties xmlns:cp="http://schemas.openxmlformats.org/package/2006/metadata/core-properties" xmlns:dc="http://purl.org/dc/elements/1.1/" xmlns:dcterms="http://purl.org/dc/terms/" xmlns:xsi="http://www.w3.org/2001/XMLSchema-instance">
  <dc:title>Projet de bail commercial, droit algerien</dc:title>
  <dc:subject>Projet de bail commercial a remettre au notaire, chaque clause rattachee a son article du code de commerce dans sa redaction issue de la loi 05-02, ou signalee comme clause d'usage.</dc:subject>
  <dc:creator>UpGrowth (upgrowth.dz)</dc:creator>
  <cp:keywords>bail commercial, code de commerce, article 187 bis, loi 05-02, Algerie, modele Word, notaire</cp:keywords>
  <cp:lastModifiedBy>UpGrowth</cp:lastModifiedBy>
  <dcterms:created xsi:type="dcterms:W3CDTF">2026-07-30T00:00:00Z</dcterms:created>
  <dcterms:modified xsi:type="dcterms:W3CDTF">2026-07-30T00:00:00Z</dcterms:modified>
  <dc:language>fr-DZ</dc:language>
</cp:coreProperties>
</file>